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93B41B">
      <w:pPr>
        <w:keepNext w:val="0"/>
        <w:keepLines w:val="0"/>
        <w:pageBreakBefore w:val="0"/>
        <w:widowControl w:val="0"/>
        <w:kinsoku/>
        <w:wordWrap/>
        <w:overflowPunct/>
        <w:topLinePunct w:val="0"/>
        <w:autoSpaceDE/>
        <w:autoSpaceDN/>
        <w:bidi w:val="0"/>
        <w:adjustRightInd/>
        <w:snapToGrid/>
        <w:spacing w:line="68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《亳州市中心城区管线工程规划方案</w:t>
      </w:r>
    </w:p>
    <w:p w14:paraId="522CC286">
      <w:pPr>
        <w:keepNext w:val="0"/>
        <w:keepLines w:val="0"/>
        <w:pageBreakBefore w:val="0"/>
        <w:widowControl w:val="0"/>
        <w:kinsoku/>
        <w:wordWrap/>
        <w:overflowPunct/>
        <w:topLinePunct w:val="0"/>
        <w:autoSpaceDE/>
        <w:autoSpaceDN/>
        <w:bidi w:val="0"/>
        <w:adjustRightInd/>
        <w:snapToGrid/>
        <w:spacing w:line="68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eastAsia="zh-CN"/>
        </w:rPr>
        <w:t>审批管理暂行规定》征求意见稿</w:t>
      </w:r>
    </w:p>
    <w:p w14:paraId="643B83F3">
      <w:pPr>
        <w:rPr>
          <w:rFonts w:hint="eastAsia"/>
          <w:sz w:val="30"/>
          <w:szCs w:val="30"/>
        </w:rPr>
      </w:pPr>
      <w:bookmarkStart w:id="0" w:name="_GoBack"/>
      <w:bookmarkEnd w:id="0"/>
    </w:p>
    <w:p w14:paraId="70BF1F1F">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为</w:t>
      </w:r>
      <w:r>
        <w:rPr>
          <w:rFonts w:hint="eastAsia" w:ascii="方正仿宋_GBK" w:hAnsi="方正仿宋_GBK" w:eastAsia="方正仿宋_GBK" w:cs="方正仿宋_GBK"/>
          <w:sz w:val="32"/>
          <w:szCs w:val="32"/>
          <w:lang w:eastAsia="zh-CN"/>
        </w:rPr>
        <w:t>进一步</w:t>
      </w:r>
      <w:r>
        <w:rPr>
          <w:rFonts w:hint="eastAsia" w:ascii="方正仿宋_GBK" w:hAnsi="方正仿宋_GBK" w:eastAsia="方正仿宋_GBK" w:cs="方正仿宋_GBK"/>
          <w:sz w:val="32"/>
          <w:szCs w:val="32"/>
        </w:rPr>
        <w:t>加强</w:t>
      </w:r>
      <w:r>
        <w:rPr>
          <w:rFonts w:hint="eastAsia" w:ascii="方正仿宋_GBK" w:hAnsi="方正仿宋_GBK" w:eastAsia="方正仿宋_GBK" w:cs="方正仿宋_GBK"/>
          <w:sz w:val="32"/>
          <w:szCs w:val="32"/>
          <w:lang w:eastAsia="zh-CN"/>
        </w:rPr>
        <w:t>中心城区</w:t>
      </w:r>
      <w:r>
        <w:rPr>
          <w:rFonts w:hint="eastAsia" w:ascii="方正仿宋_GBK" w:hAnsi="方正仿宋_GBK" w:eastAsia="方正仿宋_GBK" w:cs="方正仿宋_GBK"/>
          <w:sz w:val="32"/>
          <w:szCs w:val="32"/>
        </w:rPr>
        <w:t>管线工程规划管理，</w:t>
      </w:r>
      <w:r>
        <w:rPr>
          <w:rFonts w:hint="eastAsia" w:ascii="方正仿宋_GBK" w:hAnsi="方正仿宋_GBK" w:eastAsia="方正仿宋_GBK" w:cs="方正仿宋_GBK"/>
          <w:i w:val="0"/>
          <w:iCs w:val="0"/>
          <w:caps w:val="0"/>
          <w:color w:val="333333"/>
          <w:spacing w:val="0"/>
          <w:sz w:val="32"/>
          <w:szCs w:val="32"/>
          <w:shd w:val="clear" w:color="auto" w:fill="FFFFFF"/>
          <w:lang w:eastAsia="zh-CN"/>
        </w:rPr>
        <w:t>保障国土空间合理有序开发利用，</w:t>
      </w:r>
      <w:r>
        <w:rPr>
          <w:rFonts w:hint="eastAsia" w:ascii="方正仿宋_GBK" w:hAnsi="方正仿宋_GBK" w:eastAsia="方正仿宋_GBK" w:cs="方正仿宋_GBK"/>
          <w:sz w:val="32"/>
          <w:szCs w:val="32"/>
          <w:lang w:eastAsia="zh-CN"/>
        </w:rPr>
        <w:t>着力解决</w:t>
      </w:r>
      <w:r>
        <w:rPr>
          <w:rFonts w:hint="eastAsia" w:ascii="方正仿宋_GBK" w:hAnsi="方正仿宋_GBK" w:eastAsia="方正仿宋_GBK" w:cs="方正仿宋_GBK"/>
          <w:i w:val="0"/>
          <w:iCs w:val="0"/>
          <w:caps w:val="0"/>
          <w:color w:val="333333"/>
          <w:spacing w:val="0"/>
          <w:sz w:val="32"/>
          <w:szCs w:val="32"/>
          <w:shd w:val="clear" w:color="auto" w:fill="FFFFFF"/>
          <w:lang w:eastAsia="zh-CN"/>
        </w:rPr>
        <w:t>管线工程侵占项目用地、无规划手续建设、</w:t>
      </w:r>
      <w:r>
        <w:rPr>
          <w:rFonts w:hint="eastAsia" w:ascii="方正仿宋_GBK" w:hAnsi="方正仿宋_GBK" w:eastAsia="方正仿宋_GBK" w:cs="方正仿宋_GBK"/>
          <w:i w:val="0"/>
          <w:iCs w:val="0"/>
          <w:caps w:val="0"/>
          <w:color w:val="333333"/>
          <w:spacing w:val="0"/>
          <w:sz w:val="32"/>
          <w:szCs w:val="32"/>
          <w:shd w:val="clear" w:color="auto" w:fill="FFFFFF"/>
        </w:rPr>
        <w:t>重复开挖</w:t>
      </w:r>
      <w:r>
        <w:rPr>
          <w:rFonts w:hint="eastAsia" w:ascii="方正仿宋_GBK" w:hAnsi="方正仿宋_GBK" w:eastAsia="方正仿宋_GBK" w:cs="方正仿宋_GBK"/>
          <w:i w:val="0"/>
          <w:iCs w:val="0"/>
          <w:caps w:val="0"/>
          <w:color w:val="333333"/>
          <w:spacing w:val="0"/>
          <w:sz w:val="32"/>
          <w:szCs w:val="32"/>
          <w:shd w:val="clear" w:color="auto" w:fill="FFFFFF"/>
          <w:lang w:eastAsia="zh-CN"/>
        </w:rPr>
        <w:t>道路、存在安全隐患</w:t>
      </w:r>
      <w:r>
        <w:rPr>
          <w:rFonts w:hint="eastAsia" w:ascii="方正仿宋_GBK" w:hAnsi="方正仿宋_GBK" w:eastAsia="方正仿宋_GBK" w:cs="方正仿宋_GBK"/>
          <w:i w:val="0"/>
          <w:iCs w:val="0"/>
          <w:caps w:val="0"/>
          <w:color w:val="333333"/>
          <w:spacing w:val="0"/>
          <w:sz w:val="32"/>
          <w:szCs w:val="32"/>
          <w:shd w:val="clear" w:color="auto" w:fill="FFFFFF"/>
        </w:rPr>
        <w:t>等问题</w:t>
      </w:r>
      <w:r>
        <w:rPr>
          <w:rFonts w:hint="eastAsia" w:ascii="方正仿宋_GBK" w:hAnsi="方正仿宋_GBK" w:eastAsia="方正仿宋_GBK" w:cs="方正仿宋_GBK"/>
          <w:i w:val="0"/>
          <w:iCs w:val="0"/>
          <w:caps w:val="0"/>
          <w:color w:val="333333"/>
          <w:spacing w:val="0"/>
          <w:sz w:val="32"/>
          <w:szCs w:val="32"/>
          <w:shd w:val="clear" w:color="auto" w:fill="FFFFFF"/>
          <w:lang w:eastAsia="zh-CN"/>
        </w:rPr>
        <w:t>，全面规范中心</w:t>
      </w:r>
      <w:r>
        <w:rPr>
          <w:rFonts w:hint="eastAsia" w:ascii="方正仿宋_GBK" w:hAnsi="方正仿宋_GBK" w:eastAsia="方正仿宋_GBK" w:cs="方正仿宋_GBK"/>
          <w:sz w:val="32"/>
          <w:szCs w:val="32"/>
          <w:lang w:eastAsia="zh-CN"/>
        </w:rPr>
        <w:t>城区管线工程规划方案审查系列流程，</w:t>
      </w:r>
      <w:r>
        <w:rPr>
          <w:rFonts w:hint="eastAsia" w:ascii="方正仿宋_GBK" w:hAnsi="方正仿宋_GBK" w:eastAsia="方正仿宋_GBK" w:cs="方正仿宋_GBK"/>
          <w:sz w:val="32"/>
          <w:szCs w:val="32"/>
        </w:rPr>
        <w:t>根据《中华人民共和国城乡规划法》</w:t>
      </w:r>
      <w:r>
        <w:rPr>
          <w:rFonts w:hint="eastAsia" w:ascii="方正仿宋_GBK" w:hAnsi="方正仿宋_GBK" w:eastAsia="方正仿宋_GBK" w:cs="方正仿宋_GBK"/>
          <w:sz w:val="32"/>
          <w:szCs w:val="32"/>
          <w:lang w:eastAsia="zh-CN"/>
        </w:rPr>
        <w:t>《中华人民共和国建筑法》《中华人民共和国土地管理法》</w:t>
      </w:r>
      <w:r>
        <w:rPr>
          <w:rFonts w:hint="eastAsia" w:ascii="方正仿宋_GBK" w:hAnsi="方正仿宋_GBK" w:eastAsia="方正仿宋_GBK" w:cs="方正仿宋_GBK"/>
          <w:sz w:val="32"/>
          <w:szCs w:val="32"/>
        </w:rPr>
        <w:t>《城市道路管理条例》《国务院办公厅关于加强城市地下管线建设管理的指导意见》</w:t>
      </w:r>
      <w:r>
        <w:rPr>
          <w:rFonts w:hint="eastAsia" w:ascii="方正仿宋_GBK" w:hAnsi="方正仿宋_GBK" w:eastAsia="方正仿宋_GBK" w:cs="方正仿宋_GBK"/>
          <w:sz w:val="32"/>
          <w:szCs w:val="32"/>
          <w:lang w:eastAsia="zh-CN"/>
        </w:rPr>
        <w:t>等法律法规</w:t>
      </w:r>
      <w:r>
        <w:rPr>
          <w:rFonts w:hint="eastAsia" w:ascii="方正仿宋_GBK" w:hAnsi="方正仿宋_GBK" w:eastAsia="方正仿宋_GBK" w:cs="方正仿宋_GBK"/>
          <w:sz w:val="32"/>
          <w:szCs w:val="32"/>
        </w:rPr>
        <w:t>，结合本市实际，制定本</w:t>
      </w:r>
      <w:r>
        <w:rPr>
          <w:rFonts w:hint="eastAsia" w:ascii="方正仿宋_GBK" w:hAnsi="方正仿宋_GBK" w:eastAsia="方正仿宋_GBK" w:cs="方正仿宋_GBK"/>
          <w:sz w:val="32"/>
          <w:szCs w:val="32"/>
          <w:lang w:eastAsia="zh-CN"/>
        </w:rPr>
        <w:t>暂行规定</w:t>
      </w:r>
      <w:r>
        <w:rPr>
          <w:rFonts w:hint="eastAsia" w:ascii="方正仿宋_GBK" w:hAnsi="方正仿宋_GBK" w:eastAsia="方正仿宋_GBK" w:cs="方正仿宋_GBK"/>
          <w:sz w:val="32"/>
          <w:szCs w:val="32"/>
        </w:rPr>
        <w:t>。</w:t>
      </w:r>
    </w:p>
    <w:p w14:paraId="638187AC">
      <w:pPr>
        <w:keepNext w:val="0"/>
        <w:keepLines w:val="0"/>
        <w:pageBreakBefore w:val="0"/>
        <w:numPr>
          <w:ilvl w:val="0"/>
          <w:numId w:val="0"/>
        </w:numPr>
        <w:kinsoku/>
        <w:wordWrap/>
        <w:overflowPunct/>
        <w:topLinePunct w:val="0"/>
        <w:autoSpaceDE/>
        <w:autoSpaceDN/>
        <w:bidi w:val="0"/>
        <w:adjustRightInd/>
        <w:snapToGrid/>
        <w:ind w:firstLine="600" w:firstLineChars="200"/>
        <w:textAlignment w:val="auto"/>
        <w:rPr>
          <w:rFonts w:hint="eastAsia" w:ascii="黑体" w:hAnsi="黑体" w:eastAsia="黑体" w:cs="黑体"/>
          <w:sz w:val="30"/>
          <w:szCs w:val="30"/>
          <w:lang w:eastAsia="zh-CN"/>
        </w:rPr>
      </w:pPr>
      <w:r>
        <w:rPr>
          <w:rFonts w:hint="eastAsia" w:ascii="黑体" w:hAnsi="黑体" w:eastAsia="黑体" w:cs="黑体"/>
          <w:sz w:val="30"/>
          <w:szCs w:val="30"/>
          <w:lang w:eastAsia="zh-CN"/>
        </w:rPr>
        <w:t>一、总体要求</w:t>
      </w:r>
    </w:p>
    <w:p w14:paraId="7126A83E">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val="en-US" w:eastAsia="zh-CN"/>
        </w:rPr>
        <w:t>管线工程应遵循先规划后建设的原则，规划建设内容应当满足相关国家规范要求，按照规定办理立项或备案、规划、施工等审批手续，应符合国土空间开发利用和用途管制、运行安全和市容景观等要求。</w:t>
      </w:r>
    </w:p>
    <w:p w14:paraId="3326AE01">
      <w:pPr>
        <w:keepNext w:val="0"/>
        <w:keepLines w:val="0"/>
        <w:pageBreakBefore w:val="0"/>
        <w:numPr>
          <w:ilvl w:val="0"/>
          <w:numId w:val="0"/>
        </w:numPr>
        <w:kinsoku/>
        <w:wordWrap/>
        <w:overflowPunct/>
        <w:topLinePunct w:val="0"/>
        <w:autoSpaceDE/>
        <w:autoSpaceDN/>
        <w:bidi w:val="0"/>
        <w:adjustRightInd/>
        <w:snapToGrid/>
        <w:ind w:firstLine="600" w:firstLineChars="200"/>
        <w:textAlignment w:val="auto"/>
        <w:rPr>
          <w:rFonts w:hint="eastAsia" w:ascii="黑体" w:hAnsi="黑体" w:eastAsia="黑体" w:cs="黑体"/>
          <w:sz w:val="30"/>
          <w:szCs w:val="30"/>
          <w:lang w:eastAsia="zh-CN"/>
        </w:rPr>
      </w:pPr>
      <w:r>
        <w:rPr>
          <w:rFonts w:hint="eastAsia" w:ascii="黑体" w:hAnsi="黑体" w:eastAsia="黑体" w:cs="黑体"/>
          <w:sz w:val="30"/>
          <w:szCs w:val="30"/>
          <w:lang w:eastAsia="zh-CN"/>
        </w:rPr>
        <w:t>二、审查范围</w:t>
      </w:r>
    </w:p>
    <w:p w14:paraId="1CF95A19">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亳州市中心城区管线工程规划方案审批管理暂行规定》（以下简称《规定》）所称的管线工程，是指新、改、扩建的地下或地上供水、排水、中水、燃气、电力（含杆塔）、热力、通信、交通信号、视频监控、广播电视等市政公用管线及其附属箱体设施（含集中敷设相关管线的综合管廊、合杆管道）和通信铁塔工程。（项目用地范围内配套管线工程的建设除外）。</w:t>
      </w:r>
    </w:p>
    <w:p w14:paraId="59216DAF">
      <w:pPr>
        <w:keepNext w:val="0"/>
        <w:keepLines w:val="0"/>
        <w:pageBreakBefore w:val="0"/>
        <w:numPr>
          <w:ilvl w:val="0"/>
          <w:numId w:val="0"/>
        </w:numPr>
        <w:kinsoku/>
        <w:wordWrap/>
        <w:overflowPunct/>
        <w:topLinePunct w:val="0"/>
        <w:autoSpaceDE/>
        <w:autoSpaceDN/>
        <w:bidi w:val="0"/>
        <w:adjustRightInd/>
        <w:snapToGrid/>
        <w:ind w:firstLine="600" w:firstLineChars="200"/>
        <w:textAlignment w:val="auto"/>
        <w:rPr>
          <w:rFonts w:hint="default" w:ascii="黑体" w:hAnsi="黑体" w:eastAsia="黑体" w:cs="黑体"/>
          <w:sz w:val="30"/>
          <w:szCs w:val="30"/>
          <w:lang w:val="en-US" w:eastAsia="zh-CN"/>
        </w:rPr>
      </w:pPr>
      <w:r>
        <w:rPr>
          <w:rFonts w:hint="eastAsia" w:ascii="黑体" w:hAnsi="黑体" w:eastAsia="黑体" w:cs="黑体"/>
          <w:sz w:val="30"/>
          <w:szCs w:val="30"/>
          <w:lang w:val="en-US" w:eastAsia="zh-CN"/>
        </w:rPr>
        <w:t>三、审查层级</w:t>
      </w:r>
    </w:p>
    <w:p w14:paraId="134F0B7E">
      <w:pPr>
        <w:keepNext w:val="0"/>
        <w:keepLines w:val="0"/>
        <w:pageBreakBefore w:val="0"/>
        <w:numPr>
          <w:ilvl w:val="0"/>
          <w:numId w:val="1"/>
        </w:numPr>
        <w:kinsoku/>
        <w:wordWrap/>
        <w:overflowPunct/>
        <w:topLinePunct w:val="0"/>
        <w:autoSpaceDE/>
        <w:autoSpaceDN/>
        <w:bidi w:val="0"/>
        <w:adjustRightInd/>
        <w:snapToGrid/>
        <w:ind w:left="30" w:leftChars="0" w:firstLine="600" w:firstLineChars="0"/>
        <w:textAlignment w:val="auto"/>
        <w:rPr>
          <w:rFonts w:hint="eastAsia" w:ascii="宋体" w:hAnsi="宋体" w:eastAsia="宋体" w:cs="宋体"/>
          <w:sz w:val="30"/>
          <w:szCs w:val="30"/>
          <w:lang w:eastAsia="zh-CN"/>
        </w:rPr>
      </w:pPr>
      <w:r>
        <w:rPr>
          <w:rFonts w:hint="eastAsia" w:ascii="宋体" w:hAnsi="宋体" w:eastAsia="宋体" w:cs="宋体"/>
          <w:sz w:val="30"/>
          <w:szCs w:val="30"/>
          <w:lang w:eastAsia="zh-CN"/>
        </w:rPr>
        <w:t>豁免类型</w:t>
      </w:r>
    </w:p>
    <w:p w14:paraId="5379BB51">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适用范围：根据市城市管理局等五部门《关于印发涉水涉电涉气外线连接工程行政并联审批方案的通知》（亳城管〔2021〕111号）（以下简称《通知》），260米及以下供水、电力（20千伏及以下）、燃气（低压≤0.01Mpa）、通信管线接入工程，符合《通知》中告知承诺制和备案制要求的，按照《通知》中有关要求办理，不需要单独进行规划设计方案审批。</w:t>
      </w:r>
    </w:p>
    <w:p w14:paraId="6CC3EC53">
      <w:pPr>
        <w:keepNext w:val="0"/>
        <w:keepLines w:val="0"/>
        <w:pageBreakBefore w:val="0"/>
        <w:kinsoku/>
        <w:wordWrap/>
        <w:overflowPunct/>
        <w:topLinePunct w:val="0"/>
        <w:autoSpaceDE/>
        <w:autoSpaceDN/>
        <w:bidi w:val="0"/>
        <w:adjustRightInd/>
        <w:snapToGrid/>
        <w:ind w:firstLine="640" w:firstLineChars="200"/>
        <w:textAlignment w:val="auto"/>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报审流程：按照《通知》要求，市城市管理局行政审批窗口实施“一窗受理”，市城管、市规划等各相关单位按照既定时间进行审查。</w:t>
      </w:r>
    </w:p>
    <w:p w14:paraId="161AC923">
      <w:pPr>
        <w:keepNext w:val="0"/>
        <w:keepLines w:val="0"/>
        <w:pageBreakBefore w:val="0"/>
        <w:numPr>
          <w:ilvl w:val="0"/>
          <w:numId w:val="1"/>
        </w:numPr>
        <w:kinsoku/>
        <w:wordWrap/>
        <w:overflowPunct/>
        <w:topLinePunct w:val="0"/>
        <w:autoSpaceDE/>
        <w:autoSpaceDN/>
        <w:bidi w:val="0"/>
        <w:adjustRightInd/>
        <w:snapToGrid/>
        <w:ind w:left="30" w:leftChars="0" w:firstLine="600" w:firstLineChars="0"/>
        <w:textAlignment w:val="auto"/>
        <w:rPr>
          <w:rFonts w:hint="eastAsia" w:ascii="宋体" w:hAnsi="宋体" w:eastAsia="宋体" w:cs="宋体"/>
          <w:sz w:val="30"/>
          <w:szCs w:val="30"/>
          <w:lang w:eastAsia="zh-CN"/>
        </w:rPr>
      </w:pPr>
      <w:r>
        <w:rPr>
          <w:rFonts w:hint="eastAsia" w:ascii="宋体" w:hAnsi="宋体" w:eastAsia="宋体" w:cs="宋体"/>
          <w:sz w:val="30"/>
          <w:szCs w:val="30"/>
          <w:lang w:eastAsia="zh-CN"/>
        </w:rPr>
        <w:t>市自然资源和规划管理委员会办公室</w:t>
      </w:r>
      <w:r>
        <w:rPr>
          <w:rFonts w:hint="eastAsia" w:ascii="宋体" w:hAnsi="宋体" w:cs="宋体"/>
          <w:sz w:val="30"/>
          <w:szCs w:val="30"/>
          <w:lang w:eastAsia="zh-CN"/>
        </w:rPr>
        <w:t>审批</w:t>
      </w:r>
      <w:r>
        <w:rPr>
          <w:rFonts w:hint="eastAsia" w:ascii="宋体" w:hAnsi="宋体" w:eastAsia="宋体" w:cs="宋体"/>
          <w:sz w:val="30"/>
          <w:szCs w:val="30"/>
          <w:lang w:eastAsia="zh-CN"/>
        </w:rPr>
        <w:t>类型</w:t>
      </w:r>
    </w:p>
    <w:p w14:paraId="14C5B625">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适用范围：除豁免类以外，管线总长度＜2000米，且位于单一市政道路（≤24米）或两条及以下支路、小街巷或者城市一般公共空间（如广场、绿化或者水系周边等），包括供水、排水、中水、燃气（低压≤0.01Mpa，0.01Mpa＜中压≤0.4Mpa、0.4Mpa＜次高压≤1.6Mpa）、电力（35千伏及以下）、热力、通信、交通信号、视频监控、广播电视等市政公用管线及其附属箱体设施（集中敷设相关管线的合杆管道及其附属设施工程），非重点区域架空线路，通信铁塔工程。</w:t>
      </w:r>
    </w:p>
    <w:p w14:paraId="1BA690ED">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报审流程：由管线工程建设单位委托有资质的设计单位编制规划方案，报市规划主管部门，且征得属地和行业主管部门意见同意，涉及现状高压电力和燃气等安全影响较大或情况复杂的由市规划主管部门或行业主管部门组织专家论证，提交市自然资源和规划管理委员会办公室会议审查同意后，由市自然资源和规划局审批。</w:t>
      </w:r>
    </w:p>
    <w:p w14:paraId="5612F2FF">
      <w:pPr>
        <w:keepNext w:val="0"/>
        <w:keepLines w:val="0"/>
        <w:pageBreakBefore w:val="0"/>
        <w:numPr>
          <w:ilvl w:val="0"/>
          <w:numId w:val="1"/>
        </w:numPr>
        <w:kinsoku/>
        <w:wordWrap/>
        <w:overflowPunct/>
        <w:topLinePunct w:val="0"/>
        <w:autoSpaceDE/>
        <w:autoSpaceDN/>
        <w:bidi w:val="0"/>
        <w:adjustRightInd/>
        <w:snapToGrid/>
        <w:ind w:left="30" w:leftChars="0" w:firstLine="600" w:firstLineChars="0"/>
        <w:textAlignment w:val="auto"/>
        <w:rPr>
          <w:rFonts w:hint="eastAsia" w:ascii="宋体" w:hAnsi="宋体" w:eastAsia="宋体" w:cs="宋体"/>
          <w:sz w:val="30"/>
          <w:szCs w:val="30"/>
          <w:lang w:eastAsia="zh-CN"/>
        </w:rPr>
      </w:pPr>
      <w:r>
        <w:rPr>
          <w:rFonts w:hint="eastAsia" w:ascii="宋体" w:hAnsi="宋体" w:eastAsia="宋体" w:cs="宋体"/>
          <w:sz w:val="30"/>
          <w:szCs w:val="30"/>
          <w:lang w:eastAsia="zh-CN"/>
        </w:rPr>
        <w:t>市自然资源和规划管理委员会审议类型</w:t>
      </w:r>
    </w:p>
    <w:p w14:paraId="680042DA">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适用范围：管线总长度≥2000米，或位于单一市政道路（＞24米）或两条以上道路或者城市重要公共空间（如广场、绿化或者水系周边等），跨规划单元或重要区域的管线工程，包括供水、排水、中水、燃气、电力、热力、通信、交通信号、视频监控、广播电视等市政公用管线及其附属箱体设施（集中敷设相关管线的合杆管道及其附属设施工程）；多条架空线路、电力高压（110千伏及以上）、燃气（高压及以上）、重要区域通信铁塔规划布点。</w:t>
      </w:r>
    </w:p>
    <w:p w14:paraId="2C7BF6D8">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报审流程：由管线工程建设单位委托有资质的设计单位编制规划方案，报市规划主管部门，且征得属地、相关行业主管部门和职能部门同意，由市规划主管部门或行业主管部门组织专家论证通过后，提交市自然资源和规划管理委员会审查同意后，由市自然资源和规划局审批。</w:t>
      </w:r>
    </w:p>
    <w:p w14:paraId="7E35B3E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640" w:firstLineChars="200"/>
        <w:textAlignment w:val="auto"/>
        <w:rPr>
          <w:rFonts w:hint="eastAsia" w:ascii="黑体" w:hAnsi="黑体" w:eastAsia="黑体" w:cs="黑体"/>
          <w:i w:val="0"/>
          <w:iCs w:val="0"/>
          <w:caps w:val="0"/>
          <w:color w:val="424242"/>
          <w:spacing w:val="0"/>
          <w:kern w:val="2"/>
          <w:sz w:val="32"/>
          <w:szCs w:val="32"/>
          <w:lang w:val="en-US" w:eastAsia="zh-CN" w:bidi="ar-SA"/>
        </w:rPr>
      </w:pPr>
      <w:r>
        <w:rPr>
          <w:rFonts w:hint="eastAsia" w:ascii="黑体" w:hAnsi="黑体" w:eastAsia="黑体" w:cs="黑体"/>
          <w:i w:val="0"/>
          <w:iCs w:val="0"/>
          <w:caps w:val="0"/>
          <w:color w:val="424242"/>
          <w:spacing w:val="0"/>
          <w:kern w:val="2"/>
          <w:sz w:val="32"/>
          <w:szCs w:val="32"/>
          <w:lang w:val="en-US" w:eastAsia="zh-CN" w:bidi="ar-SA"/>
        </w:rPr>
        <w:t>四、审批要求</w:t>
      </w:r>
    </w:p>
    <w:p w14:paraId="26A9CACF">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（一）方案设计</w:t>
      </w:r>
    </w:p>
    <w:p w14:paraId="7F17508F">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管线工程立项或备案后，管线工程建设单位应委托具有相应资质的设计单位和勘察单位编制管线工程规划方案。方案内容须包括以下内容：1.规划管线及路径周边地上地下地形和管线现状测绘情况，2.管线设计说明，3.总平面图（管线起讫点，长度，埋深或高度，箱体布局，所在道路和临近项目等），4.对城市景观影响较大的管线和箱体提供效果图，5.管线断面图或合杆设计断面图，6.管（杆）线定位图（管线和附属箱体定位，和周边道路、管道和项目位置关系图，电力线路电线杆、电线塔坐标定位），7.管线安全间距图（管道压力等级，与现状和规划管道、建构筑物安全防护间距）等。</w:t>
      </w:r>
    </w:p>
    <w:p w14:paraId="3731324B">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（二）行政许可  </w:t>
      </w:r>
    </w:p>
    <w:p w14:paraId="682CF3BD">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管线工程建设单位进行管线工程建设，除豁免清单以外（《通知》规定的涉水涉电涉气外线连接工程，既有道路、桥梁红线范围内整治出新管线工程等），应按规定向有关部门申请办理建设工程规划许可、建设工程施工许可、建设工程规划核实、建设工程竣工验收等手续（涉及独立占地或者改变土地性质的，须提前取得土地手续）。</w:t>
      </w:r>
    </w:p>
    <w:p w14:paraId="311B17E8">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（三）建设要求</w:t>
      </w:r>
    </w:p>
    <w:p w14:paraId="0E62C854">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未取得建设工程规划许可、施工许可等行政许可的，或规划方案未通过审批的管线工程，不得开工建设。</w:t>
      </w:r>
    </w:p>
    <w:p w14:paraId="0796F103">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未经依法审批、许可建设的管线工程，按照《中华人民共和国城乡规划法》《中华人民共和国土地管理法》《中华人民共和国建筑法》《中华人民共和国行政强制法》《城市道路管理条例》等法律法规有关条款按违法建设处理。</w:t>
      </w:r>
    </w:p>
    <w:p w14:paraId="42A6FDE3">
      <w:pPr>
        <w:keepNext w:val="0"/>
        <w:keepLines w:val="0"/>
        <w:pageBreakBefore w:val="0"/>
        <w:kinsoku/>
        <w:wordWrap/>
        <w:overflowPunct/>
        <w:topLinePunct w:val="0"/>
        <w:autoSpaceDE/>
        <w:autoSpaceDN/>
        <w:bidi w:val="0"/>
        <w:adjustRightInd/>
        <w:snapToGrid/>
        <w:ind w:firstLine="640" w:firstLineChars="200"/>
        <w:textAlignment w:val="auto"/>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因政府主管部门认定的应急、抢险等特殊情况，管线建设单位施工时应尽量避免对其他周边用地、或者管线造成侵扰，并在施工完成后10个工作日内，将管线相关资料补充完整报规划主管部门。</w:t>
      </w:r>
    </w:p>
    <w:p w14:paraId="723E5080">
      <w:pPr>
        <w:keepNext w:val="0"/>
        <w:keepLines w:val="0"/>
        <w:pageBreakBefore w:val="0"/>
        <w:kinsoku/>
        <w:wordWrap/>
        <w:overflowPunct/>
        <w:topLinePunct w:val="0"/>
        <w:autoSpaceDE/>
        <w:autoSpaceDN/>
        <w:bidi w:val="0"/>
        <w:adjustRightInd/>
        <w:snapToGrid/>
        <w:ind w:firstLine="640" w:firstLineChars="200"/>
        <w:textAlignment w:val="auto"/>
        <w:rPr>
          <w:rFonts w:hint="eastAsia" w:ascii="黑体" w:hAnsi="黑体" w:eastAsia="黑体" w:cs="黑体"/>
          <w:i w:val="0"/>
          <w:iCs w:val="0"/>
          <w:caps w:val="0"/>
          <w:color w:val="424242"/>
          <w:spacing w:val="0"/>
          <w:sz w:val="32"/>
          <w:szCs w:val="32"/>
          <w:lang w:eastAsia="zh-CN"/>
        </w:rPr>
      </w:pPr>
      <w:r>
        <w:rPr>
          <w:rFonts w:hint="eastAsia" w:ascii="黑体" w:hAnsi="黑体" w:eastAsia="黑体" w:cs="黑体"/>
          <w:i w:val="0"/>
          <w:iCs w:val="0"/>
          <w:caps w:val="0"/>
          <w:color w:val="424242"/>
          <w:spacing w:val="0"/>
          <w:sz w:val="32"/>
          <w:szCs w:val="32"/>
          <w:lang w:eastAsia="zh-CN"/>
        </w:rPr>
        <w:t>五、部门职责</w:t>
      </w:r>
    </w:p>
    <w:p w14:paraId="7FA14B9E">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市自然资源和规划局、市城乡规划设计院：负责市中心城区各类管线工程规划、土地管理，在中心城区国土空间总体规划、相关专项规划、单元详细规划中明确落实管线规划管控内容；负责管线工程规划建设方案审查，上报上级研究前初步审查和论证工作；办理建设工程规划许可证、用地手续、不动产权登记等；负责管线工程规划核实。</w:t>
      </w:r>
    </w:p>
    <w:p w14:paraId="0001D023">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市住房和城乡建设局：组织编制城市市政基础设施年度重点项目建设计划；负责管线综合施工图设计审查管理；配合管线主管部门和建设单位在城市市政基础设施建设过程中落实水电气网等管线建设管理有关要求；建筑工程施工许可证办理。</w:t>
      </w:r>
    </w:p>
    <w:p w14:paraId="748B58D6">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市城市管理局：负责给水、排水、中水、燃气、地下综合管廊等管线行业监督和管理，督促指导相关管线运维管理单位具体承担运维管理工作。负责城市管网构成信息平台建设、管理、维护更新。负责违法建设管线工程的查处。</w:t>
      </w:r>
    </w:p>
    <w:p w14:paraId="0D3B0C2D">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市数据资源局（市通发办）：负责视频监控行业监督和管理。负责协调通信基础设施共建共享工作，落实通信行业基础设施共建共享协调机制。</w:t>
      </w:r>
    </w:p>
    <w:p w14:paraId="7A927E6C">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en-US"/>
        </w:rPr>
      </w:pPr>
      <w:r>
        <w:rPr>
          <w:rFonts w:hint="eastAsia" w:ascii="方正仿宋_GBK" w:hAnsi="方正仿宋_GBK" w:eastAsia="方正仿宋_GBK" w:cs="方正仿宋_GBK"/>
          <w:sz w:val="32"/>
          <w:szCs w:val="32"/>
          <w:lang w:val="en-US" w:eastAsia="zh-CN"/>
        </w:rPr>
        <w:t>市发展改革委：</w:t>
      </w:r>
      <w:r>
        <w:rPr>
          <w:rFonts w:hint="eastAsia" w:ascii="方正仿宋_GBK" w:hAnsi="方正仿宋_GBK" w:eastAsia="方正仿宋_GBK" w:cs="方正仿宋_GBK"/>
          <w:sz w:val="32"/>
          <w:szCs w:val="32"/>
          <w:lang w:val="en-US" w:eastAsia="en-US"/>
        </w:rPr>
        <w:t>负责电力</w:t>
      </w:r>
      <w:r>
        <w:rPr>
          <w:rFonts w:hint="eastAsia" w:ascii="方正仿宋_GBK" w:hAnsi="方正仿宋_GBK" w:eastAsia="方正仿宋_GBK" w:cs="方正仿宋_GBK"/>
          <w:sz w:val="32"/>
          <w:szCs w:val="32"/>
          <w:lang w:val="en-US" w:eastAsia="zh-CN"/>
        </w:rPr>
        <w:t>、热力</w:t>
      </w:r>
      <w:r>
        <w:rPr>
          <w:rFonts w:hint="eastAsia" w:ascii="方正仿宋_GBK" w:hAnsi="方正仿宋_GBK" w:eastAsia="方正仿宋_GBK" w:cs="方正仿宋_GBK"/>
          <w:sz w:val="32"/>
          <w:szCs w:val="32"/>
          <w:lang w:val="en-US" w:eastAsia="en-US"/>
        </w:rPr>
        <w:t>管线</w:t>
      </w:r>
      <w:r>
        <w:rPr>
          <w:rFonts w:hint="eastAsia" w:ascii="方正仿宋_GBK" w:hAnsi="方正仿宋_GBK" w:eastAsia="方正仿宋_GBK" w:cs="方正仿宋_GBK"/>
          <w:sz w:val="32"/>
          <w:szCs w:val="32"/>
          <w:lang w:val="en-US" w:eastAsia="zh-CN"/>
        </w:rPr>
        <w:t>行业</w:t>
      </w:r>
      <w:r>
        <w:rPr>
          <w:rFonts w:hint="eastAsia" w:ascii="方正仿宋_GBK" w:hAnsi="方正仿宋_GBK" w:eastAsia="方正仿宋_GBK" w:cs="方正仿宋_GBK"/>
          <w:sz w:val="32"/>
          <w:szCs w:val="32"/>
          <w:lang w:val="en-US" w:eastAsia="en-US"/>
        </w:rPr>
        <w:t>监督和管理</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lang w:val="en-US" w:eastAsia="en-US"/>
        </w:rPr>
        <w:t>负责</w:t>
      </w:r>
      <w:r>
        <w:rPr>
          <w:rFonts w:hint="eastAsia" w:ascii="方正仿宋_GBK" w:hAnsi="方正仿宋_GBK" w:eastAsia="方正仿宋_GBK" w:cs="方正仿宋_GBK"/>
          <w:sz w:val="32"/>
          <w:szCs w:val="32"/>
          <w:lang w:val="en-US" w:eastAsia="zh-CN"/>
        </w:rPr>
        <w:t>政府</w:t>
      </w:r>
      <w:r>
        <w:rPr>
          <w:rFonts w:hint="eastAsia" w:ascii="方正仿宋_GBK" w:hAnsi="方正仿宋_GBK" w:eastAsia="方正仿宋_GBK" w:cs="方正仿宋_GBK"/>
          <w:sz w:val="32"/>
          <w:szCs w:val="32"/>
          <w:lang w:val="en-US" w:eastAsia="en-US"/>
        </w:rPr>
        <w:t>投资建设的管线初步设计审查。</w:t>
      </w:r>
    </w:p>
    <w:p w14:paraId="091B9BA3">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市公安局：负责交通信号灯、电子警察设备管线行业监督和管理。</w:t>
      </w:r>
    </w:p>
    <w:p w14:paraId="57EAAD4D">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市文体旅游局：负责广播电视管线行业监督和管理。</w:t>
      </w:r>
    </w:p>
    <w:p w14:paraId="78077A2B">
      <w:pPr>
        <w:keepNext w:val="0"/>
        <w:keepLines w:val="0"/>
        <w:pageBreakBefore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谯城区政府、亳州高新区管委会、亳芜现代产业园区管委会：负责对辖区内管线工程建设行为进行日常巡查、监督管理，对辖区内管线工程规划方案提出属地意见。</w:t>
      </w:r>
    </w:p>
    <w:p w14:paraId="0B288E14">
      <w:pPr>
        <w:keepNext w:val="0"/>
        <w:keepLines w:val="0"/>
        <w:pageBreakBefore w:val="0"/>
        <w:kinsoku/>
        <w:wordWrap/>
        <w:overflowPunct/>
        <w:topLinePunct w:val="0"/>
        <w:autoSpaceDE/>
        <w:autoSpaceDN/>
        <w:bidi w:val="0"/>
        <w:adjustRightInd/>
        <w:snapToGrid/>
        <w:ind w:firstLine="640" w:firstLineChars="200"/>
        <w:textAlignment w:val="auto"/>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市交通运输、</w:t>
      </w:r>
      <w:r>
        <w:rPr>
          <w:rFonts w:hint="eastAsia" w:ascii="方正仿宋_GBK" w:hAnsi="方正仿宋_GBK" w:eastAsia="方正仿宋_GBK" w:cs="方正仿宋_GBK"/>
          <w:sz w:val="32"/>
          <w:szCs w:val="32"/>
          <w:lang w:val="en-US" w:eastAsia="en-US"/>
        </w:rPr>
        <w:t>水</w:t>
      </w:r>
      <w:r>
        <w:rPr>
          <w:rFonts w:hint="eastAsia" w:ascii="方正仿宋_GBK" w:hAnsi="方正仿宋_GBK" w:eastAsia="方正仿宋_GBK" w:cs="方正仿宋_GBK"/>
          <w:sz w:val="32"/>
          <w:szCs w:val="32"/>
          <w:lang w:val="en-US" w:eastAsia="zh-CN"/>
        </w:rPr>
        <w:t>利</w:t>
      </w:r>
      <w:r>
        <w:rPr>
          <w:rFonts w:hint="eastAsia" w:ascii="方正仿宋_GBK" w:hAnsi="方正仿宋_GBK" w:eastAsia="方正仿宋_GBK" w:cs="方正仿宋_GBK"/>
          <w:sz w:val="32"/>
          <w:szCs w:val="32"/>
          <w:lang w:val="en-US" w:eastAsia="en-US"/>
        </w:rPr>
        <w:t>、</w:t>
      </w:r>
      <w:r>
        <w:rPr>
          <w:rFonts w:hint="eastAsia" w:ascii="方正仿宋_GBK" w:hAnsi="方正仿宋_GBK" w:eastAsia="方正仿宋_GBK" w:cs="方正仿宋_GBK"/>
          <w:sz w:val="32"/>
          <w:szCs w:val="32"/>
          <w:lang w:val="en-US" w:eastAsia="zh-CN"/>
        </w:rPr>
        <w:t>应急管理、市场监管、国防动员等部门根据部门职责 ，负责相关管线的行业监督管理，</w:t>
      </w:r>
      <w:r>
        <w:rPr>
          <w:rFonts w:hint="eastAsia" w:ascii="方正仿宋_GBK" w:hAnsi="方正仿宋_GBK" w:eastAsia="方正仿宋_GBK" w:cs="方正仿宋_GBK"/>
          <w:sz w:val="32"/>
          <w:szCs w:val="32"/>
          <w:lang w:val="en-US" w:eastAsia="en-US"/>
        </w:rPr>
        <w:t>协同实施本</w:t>
      </w:r>
      <w:r>
        <w:rPr>
          <w:rFonts w:hint="eastAsia" w:ascii="方正仿宋_GBK" w:hAnsi="方正仿宋_GBK" w:eastAsia="方正仿宋_GBK" w:cs="方正仿宋_GBK"/>
          <w:sz w:val="32"/>
          <w:szCs w:val="32"/>
          <w:lang w:val="en-US" w:eastAsia="zh-CN"/>
        </w:rPr>
        <w:t xml:space="preserve">通知。              </w:t>
      </w:r>
    </w:p>
    <w:p w14:paraId="5E751173">
      <w:pPr>
        <w:pStyle w:val="2"/>
        <w:ind w:left="0" w:leftChars="0" w:firstLine="0" w:firstLineChars="0"/>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E127146-6DBA-4DD1-9019-A7DFAFDBE11F}"/>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embedRegular r:id="rId2" w:fontKey="{AC52C38F-00A2-465B-BB92-A0E55299B280}"/>
  </w:font>
  <w:font w:name="方正仿宋_GBK">
    <w:panose1 w:val="02000000000000000000"/>
    <w:charset w:val="86"/>
    <w:family w:val="script"/>
    <w:pitch w:val="default"/>
    <w:sig w:usb0="A00002BF" w:usb1="38CF7CFA" w:usb2="00082016" w:usb3="00000000" w:csb0="00040001" w:csb1="00000000"/>
    <w:embedRegular r:id="rId3" w:fontKey="{7EEEC864-FC34-4265-88FF-1DAC14AD4338}"/>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4869A6"/>
    <w:multiLevelType w:val="singleLevel"/>
    <w:tmpl w:val="BA4869A6"/>
    <w:lvl w:ilvl="0" w:tentative="0">
      <w:start w:val="1"/>
      <w:numFmt w:val="chineseCounting"/>
      <w:suff w:val="nothing"/>
      <w:lvlText w:val="（%1）"/>
      <w:lvlJc w:val="left"/>
      <w:pPr>
        <w:ind w:left="3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0MTllNWUxOGNmNzU1YTQxMDVmOWIzYTdhZGE4ZTgifQ=="/>
  </w:docVars>
  <w:rsids>
    <w:rsidRoot w:val="173C2FB2"/>
    <w:rsid w:val="009D53E1"/>
    <w:rsid w:val="02633A08"/>
    <w:rsid w:val="04051E5E"/>
    <w:rsid w:val="05FF44C6"/>
    <w:rsid w:val="06687767"/>
    <w:rsid w:val="069B5E85"/>
    <w:rsid w:val="06A14ADB"/>
    <w:rsid w:val="0781665B"/>
    <w:rsid w:val="08080D8E"/>
    <w:rsid w:val="094D16B8"/>
    <w:rsid w:val="0B0E48D9"/>
    <w:rsid w:val="0B865355"/>
    <w:rsid w:val="0BA87F32"/>
    <w:rsid w:val="0C295293"/>
    <w:rsid w:val="0C6D32AB"/>
    <w:rsid w:val="0CF02134"/>
    <w:rsid w:val="0D817B82"/>
    <w:rsid w:val="0F720E52"/>
    <w:rsid w:val="109201E2"/>
    <w:rsid w:val="10B42CB3"/>
    <w:rsid w:val="11350259"/>
    <w:rsid w:val="121D5045"/>
    <w:rsid w:val="12976C8B"/>
    <w:rsid w:val="12D0178E"/>
    <w:rsid w:val="12D35F9F"/>
    <w:rsid w:val="13CC6536"/>
    <w:rsid w:val="1473252B"/>
    <w:rsid w:val="16B73D03"/>
    <w:rsid w:val="17011F4B"/>
    <w:rsid w:val="173C2FB2"/>
    <w:rsid w:val="17B13B40"/>
    <w:rsid w:val="186453D5"/>
    <w:rsid w:val="198426F9"/>
    <w:rsid w:val="1A7664A8"/>
    <w:rsid w:val="1AF802CA"/>
    <w:rsid w:val="1B5508A0"/>
    <w:rsid w:val="1BF13FF9"/>
    <w:rsid w:val="1C623F34"/>
    <w:rsid w:val="1D4F4298"/>
    <w:rsid w:val="1E2F6231"/>
    <w:rsid w:val="1E9279F9"/>
    <w:rsid w:val="1FB65DB1"/>
    <w:rsid w:val="200206E1"/>
    <w:rsid w:val="205A1AEB"/>
    <w:rsid w:val="21E23FE7"/>
    <w:rsid w:val="22597779"/>
    <w:rsid w:val="22966969"/>
    <w:rsid w:val="23353491"/>
    <w:rsid w:val="243716B6"/>
    <w:rsid w:val="24843087"/>
    <w:rsid w:val="24CD1023"/>
    <w:rsid w:val="250627A0"/>
    <w:rsid w:val="26485B84"/>
    <w:rsid w:val="26DA1045"/>
    <w:rsid w:val="278103B0"/>
    <w:rsid w:val="28942E73"/>
    <w:rsid w:val="29023E15"/>
    <w:rsid w:val="29824F56"/>
    <w:rsid w:val="2A16751A"/>
    <w:rsid w:val="2A457487"/>
    <w:rsid w:val="2AE6623B"/>
    <w:rsid w:val="2C002162"/>
    <w:rsid w:val="306275EE"/>
    <w:rsid w:val="324A05DB"/>
    <w:rsid w:val="32EE5A70"/>
    <w:rsid w:val="33D575FB"/>
    <w:rsid w:val="35B97056"/>
    <w:rsid w:val="36E141DD"/>
    <w:rsid w:val="378E3AC6"/>
    <w:rsid w:val="38D43713"/>
    <w:rsid w:val="392B2C6B"/>
    <w:rsid w:val="3B0E5B65"/>
    <w:rsid w:val="3BF375EE"/>
    <w:rsid w:val="3C2A07AC"/>
    <w:rsid w:val="3CA37533"/>
    <w:rsid w:val="3E1C72D0"/>
    <w:rsid w:val="3E412892"/>
    <w:rsid w:val="3EBF7C5B"/>
    <w:rsid w:val="41852113"/>
    <w:rsid w:val="41E6761D"/>
    <w:rsid w:val="43031B6F"/>
    <w:rsid w:val="43617FED"/>
    <w:rsid w:val="456B18F3"/>
    <w:rsid w:val="47376BDD"/>
    <w:rsid w:val="47E96BEA"/>
    <w:rsid w:val="49E078A0"/>
    <w:rsid w:val="4B0E7998"/>
    <w:rsid w:val="4B127384"/>
    <w:rsid w:val="4BCE35B9"/>
    <w:rsid w:val="4C8F6EBF"/>
    <w:rsid w:val="4CEA7E6E"/>
    <w:rsid w:val="4D371E1F"/>
    <w:rsid w:val="4DBA4240"/>
    <w:rsid w:val="513F3DDB"/>
    <w:rsid w:val="51C31420"/>
    <w:rsid w:val="52036385"/>
    <w:rsid w:val="52352B08"/>
    <w:rsid w:val="539564AD"/>
    <w:rsid w:val="53F40C21"/>
    <w:rsid w:val="54F62576"/>
    <w:rsid w:val="55BF57CF"/>
    <w:rsid w:val="56563ADF"/>
    <w:rsid w:val="56D374F9"/>
    <w:rsid w:val="570547B9"/>
    <w:rsid w:val="59012EF2"/>
    <w:rsid w:val="59753FBF"/>
    <w:rsid w:val="5B4C6079"/>
    <w:rsid w:val="5BB139E7"/>
    <w:rsid w:val="5C666A3C"/>
    <w:rsid w:val="5CB116E0"/>
    <w:rsid w:val="5E0E5E35"/>
    <w:rsid w:val="5E4775F9"/>
    <w:rsid w:val="5EB400EF"/>
    <w:rsid w:val="5EC0371E"/>
    <w:rsid w:val="602A4CC7"/>
    <w:rsid w:val="60A056E7"/>
    <w:rsid w:val="60BC5434"/>
    <w:rsid w:val="626D5F4C"/>
    <w:rsid w:val="64DD4BD5"/>
    <w:rsid w:val="68354966"/>
    <w:rsid w:val="687C43B7"/>
    <w:rsid w:val="6B706F58"/>
    <w:rsid w:val="6CC36596"/>
    <w:rsid w:val="6D424C3E"/>
    <w:rsid w:val="6D885538"/>
    <w:rsid w:val="6DCB1999"/>
    <w:rsid w:val="6ECC3352"/>
    <w:rsid w:val="716413C5"/>
    <w:rsid w:val="72884CFC"/>
    <w:rsid w:val="72D571F9"/>
    <w:rsid w:val="730D6C0C"/>
    <w:rsid w:val="731F693F"/>
    <w:rsid w:val="733107D8"/>
    <w:rsid w:val="733D0B73"/>
    <w:rsid w:val="74F742E1"/>
    <w:rsid w:val="761920DD"/>
    <w:rsid w:val="7692487E"/>
    <w:rsid w:val="77D05B9F"/>
    <w:rsid w:val="786F6703"/>
    <w:rsid w:val="79145048"/>
    <w:rsid w:val="796E3F5B"/>
    <w:rsid w:val="79883EFF"/>
    <w:rsid w:val="7A4D391E"/>
    <w:rsid w:val="7BE56054"/>
    <w:rsid w:val="7EAF0B77"/>
    <w:rsid w:val="7EFB6613"/>
    <w:rsid w:val="7FA4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Indent"/>
    <w:basedOn w:val="1"/>
    <w:unhideWhenUsed/>
    <w:qFormat/>
    <w:uiPriority w:val="99"/>
    <w:pPr>
      <w:tabs>
        <w:tab w:val="left" w:pos="945"/>
      </w:tabs>
      <w:ind w:left="630" w:firstLine="630"/>
    </w:pPr>
    <w:rPr>
      <w:sz w:val="28"/>
    </w:rPr>
  </w:style>
  <w:style w:type="paragraph" w:styleId="3">
    <w:name w:val="footer"/>
    <w:basedOn w:val="1"/>
    <w:qFormat/>
    <w:uiPriority w:val="0"/>
    <w:pPr>
      <w:tabs>
        <w:tab w:val="center" w:pos="4153"/>
        <w:tab w:val="right" w:pos="8306"/>
      </w:tabs>
      <w:snapToGrid w:val="0"/>
      <w:jc w:val="left"/>
    </w:pPr>
    <w:rPr>
      <w:sz w:val="18"/>
    </w:rPr>
  </w:style>
  <w:style w:type="paragraph" w:styleId="4">
    <w:name w:val="envelope return"/>
    <w:basedOn w:val="1"/>
    <w:unhideWhenUsed/>
    <w:qFormat/>
    <w:uiPriority w:val="99"/>
    <w:pPr>
      <w:snapToGrid w:val="0"/>
    </w:pPr>
    <w:rPr>
      <w:rFonts w:ascii="Arial" w:hAnsi="Arial"/>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8">
    <w:name w:val="正文首行缩进 21"/>
    <w:next w:val="1"/>
    <w:qFormat/>
    <w:uiPriority w:val="0"/>
    <w:pPr>
      <w:ind w:firstLine="420" w:firstLineChars="200"/>
    </w:pPr>
    <w:rPr>
      <w:rFonts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8c8a1adc-fafe-4b69-9abc-8b6544a36f61</errorID>
      <errorWord>法律、法规</errorWord>
      <group>L1_Word</group>
      <groupName>字词问题</groupName>
      <ability>L2_Typo</ability>
      <abilityName>字词错误</abilityName>
      <candidateList>
        <item>法律法规</item>
      </candidateList>
      <explain/>
      <paraID>70BF1F1F</paraID>
      <start>177</start>
      <end>181</end>
      <status>modified</status>
      <modifiedWord>法律法规</modifiedWord>
      <trackRevisions>false</trackRevisions>
    </reviewItem>
    <reviewItem>
      <errorID>723ede79-fb85-4d27-beed-d5e091fb43e3</errorID>
      <errorWord>临近</errorWord>
      <group>L1_Word</group>
      <groupName>字词问题</groupName>
      <ability>L2_Typo</ability>
      <abilityName>字词错误</abilityName>
      <candidateList>
        <item>邻近</item>
      </candidateList>
      <explain>❶〈动〉位置接近：～边界｜我国东部跟朝鲜接壤，跟日本～。❷〈名〉附近：学校～有文化馆｜～的一家姓赵的搬走了。</explain>
      <paraID>7F17508F</paraID>
      <start>130</start>
      <end>132</end>
      <status>ignored</status>
      <modifiedWord/>
      <trackRevisions>false</trackRevisions>
    </reviewItem>
    <reviewItem>
      <errorID>644dd17e-2fc1-43e5-bcc1-ffd172cebd5a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796F103</paraID>
      <start>32</start>
      <end>34</end>
      <status>modified</status>
      <modifiedWord>》《</modifiedWord>
      <trackRevisions>false</trackRevisions>
    </reviewItem>
    <reviewItem>
      <errorID>e18f930a-bd90-4b93-97b2-f1fbfb226a3f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796F103</paraID>
      <start>46</start>
      <end>48</end>
      <status>modified</status>
      <modifiedWord>》《</modifiedWord>
      <trackRevisions>false</trackRevisions>
    </reviewItem>
    <reviewItem>
      <errorID>f5f48037-46c1-42fc-977b-47c1226b7d16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796F103</paraID>
      <start>58</start>
      <end>60</end>
      <status>modified</status>
      <modifiedWord>》《</modifiedWord>
      <trackRevisions>false</trackRevisions>
    </reviewItem>
    <reviewItem>
      <errorID>49f6edf4-06d7-4ea0-af89-7a4ca4b76a2d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796F103</paraID>
      <start>72</start>
      <end>74</end>
      <status>modified</status>
      <modifiedWord>》《</modifiedWord>
      <trackRevisions>false</trackRevisions>
    </reviewItem>
    <reviewItem>
      <errorID>43c50e0b-326b-48f8-8a3f-0bf56d16b844</errorID>
      <errorWord>、或者</errorWord>
      <group>L1_Word</group>
      <groupName>字词问题</groupName>
      <ability>L2_Typo</ability>
      <abilityName>字词错误</abilityName>
      <candidateList>
        <item>，或者</item>
      </candidateList>
      <explain/>
      <paraID>42A6FDE3</paraID>
      <start>42</start>
      <end>45</end>
      <status>ignored</status>
      <modifiedWord/>
      <trackRevisions>false</trackRevisions>
    </reviewItem>
    <reviewItem>
      <errorID>a9f26a61-cd05-4dea-83ad-2e5b9ada509a</errorID>
      <errorWord>(</errorWord>
      <group>L1_Format</group>
      <groupName>格式问题</groupName>
      <ability>L2_HalfPunc</ability>
      <abilityName>全半角检查</abilityName>
      <candidateList>
        <item>（</item>
      </candidateList>
      <explain>文本全半角错误。</explain>
      <paraID> D3B0C2D</paraID>
      <start>6</start>
      <end>7</end>
      <status>modified</status>
      <modifiedWord>（</modifiedWord>
      <trackRevisions>false</trackRevisions>
    </reviewItem>
    <reviewItem>
      <errorID>e70d7ef4-d979-48de-851d-4fc4cedeb4e9</errorID>
      <errorWord>):</errorWord>
      <group>L1_Format</group>
      <groupName>格式问题</groupName>
      <ability>L2_HalfPunc</ability>
      <abilityName>全半角检查</abilityName>
      <candidateList>
        <item>）：</item>
      </candidateList>
      <explain>文本全半角错误。</explain>
      <paraID> D3B0C2D</paraID>
      <start>11</start>
      <end>13</end>
      <status>modified</status>
      <modifiedWord>）：</modifiedWord>
      <trackRevisions>false</trackRevisions>
    </reviewItem>
    <reviewItem>
      <errorID>12590b5a-2b6f-4d68-b44e-72db34df32f0</errorID>
      <errorWord>,</errorWord>
      <group>L1_Format</group>
      <groupName>格式问题</groupName>
      <ability>L2_HalfPunc</ability>
      <abilityName>全半角检查</abilityName>
      <candidateList>
        <item>，</item>
      </candidateList>
      <explain>文本全半角错误。</explain>
      <paraID> B288E14</paraID>
      <start>33</start>
      <end>34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f4521804-7cb8-4ea4-bdcf-719a993fcd64}">
  <ds:schemaRefs/>
</ds:datastoreItem>
</file>

<file path=docProps/app.xml><?xml version="1.0" encoding="utf-8"?>
<Properties xmlns="http://schemas.openxmlformats.org/officeDocument/2006/extended-properties" xmlns:vt="http://schemas.openxmlformats.org/officeDocument/2006/docPropsVTypes">
  <Template>Normal.dotm</Template>
  <Pages>6</Pages>
  <Words>2713</Words>
  <Characters>2774</Characters>
  <Lines>0</Lines>
  <Paragraphs>0</Paragraphs>
  <TotalTime>301</TotalTime>
  <ScaleCrop>false</ScaleCrop>
  <LinksUpToDate>false</LinksUpToDate>
  <CharactersWithSpaces>2789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2024-03-28T08:22:00Z</dcterms:created>
  <dc:creator>铁锐</dc:creator>
  <cp:lastModifiedBy>铁锐</cp:lastModifiedBy>
  <cp:lastPrinted>2026-02-09T01:01:00Z</cp:lastPrinted>
  <dcterms:modified xsi:type="dcterms:W3CDTF">2026-02-12T07:22:10Z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28F80FC0ADD64A7FB007F171EDD170CF_13</vt:lpwstr>
  </property>
  <property fmtid="{D5CDD505-2E9C-101B-9397-08002B2CF9AE}" pid="4" name="KSOTemplateDocerSaveRecord">
    <vt:lpwstr>eyJoZGlkIjoiZmQ0MTllNWUxOGNmNzU1YTQxMDVmOWIzYTdhZGE4ZTgiLCJ1c2VySWQiOiIzNDk1NDUxNjIifQ==</vt:lpwstr>
  </property>
</Properties>
</file>