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/>
        <w:shd w:val="clear" w:color="auto" w:fill="FFFFFF"/>
        <w:spacing w:before="0" w:beforeAutospacing="0" w:after="0" w:afterAutospacing="0" w:line="600" w:lineRule="exact"/>
        <w:jc w:val="center"/>
        <w:rPr>
          <w:rFonts w:ascii="方正小标宋简体" w:hAnsi="宋体" w:eastAsia="方正小标宋简体" w:cs="宋体"/>
          <w:color w:val="333333"/>
          <w:sz w:val="44"/>
          <w:szCs w:val="44"/>
          <w:shd w:val="clear" w:color="auto" w:fill="FFFFFF"/>
        </w:rPr>
      </w:pPr>
      <w:r>
        <w:rPr>
          <w:rFonts w:hint="eastAsia" w:ascii="方正小标宋简体" w:hAnsi="宋体" w:eastAsia="方正小标宋简体" w:cs="宋体"/>
          <w:color w:val="333333"/>
          <w:sz w:val="44"/>
          <w:szCs w:val="44"/>
          <w:shd w:val="clear" w:color="auto" w:fill="FFFFFF"/>
        </w:rPr>
        <w:t>亳州市自然资源和规划局2019年政府信息</w:t>
      </w:r>
    </w:p>
    <w:p>
      <w:pPr>
        <w:pStyle w:val="5"/>
        <w:widowControl/>
        <w:shd w:val="clear" w:color="auto" w:fill="FFFFFF"/>
        <w:spacing w:before="0" w:beforeAutospacing="0" w:after="0" w:afterAutospacing="0" w:line="600" w:lineRule="exact"/>
        <w:jc w:val="center"/>
        <w:rPr>
          <w:rFonts w:ascii="方正小标宋简体" w:hAnsi="宋体" w:eastAsia="方正小标宋简体" w:cs="宋体"/>
          <w:color w:val="333333"/>
          <w:sz w:val="44"/>
          <w:szCs w:val="44"/>
        </w:rPr>
      </w:pPr>
      <w:r>
        <w:rPr>
          <w:rFonts w:hint="eastAsia" w:ascii="方正小标宋简体" w:hAnsi="宋体" w:eastAsia="方正小标宋简体" w:cs="宋体"/>
          <w:color w:val="333333"/>
          <w:sz w:val="44"/>
          <w:szCs w:val="44"/>
          <w:shd w:val="clear" w:color="auto" w:fill="FFFFFF"/>
        </w:rPr>
        <w:t>公开工作年度报告</w:t>
      </w:r>
    </w:p>
    <w:p>
      <w:pPr>
        <w:pStyle w:val="5"/>
        <w:widowControl/>
        <w:shd w:val="clear" w:color="auto" w:fill="FFFFFF"/>
        <w:spacing w:before="0" w:beforeAutospacing="0" w:after="0" w:afterAutospacing="0" w:line="600" w:lineRule="exact"/>
        <w:ind w:firstLine="420"/>
        <w:jc w:val="both"/>
        <w:rPr>
          <w:rFonts w:ascii="宋体" w:hAnsi="宋体" w:cs="宋体"/>
          <w:color w:val="333333"/>
        </w:rPr>
      </w:pPr>
    </w:p>
    <w:p>
      <w:pPr>
        <w:pStyle w:val="5"/>
        <w:widowControl/>
        <w:shd w:val="clear" w:color="auto" w:fill="FFFFFF"/>
        <w:spacing w:before="0" w:beforeAutospacing="0" w:after="0" w:afterAutospacing="0" w:line="400" w:lineRule="exact"/>
        <w:ind w:firstLine="608" w:firstLineChars="200"/>
        <w:jc w:val="both"/>
        <w:rPr>
          <w:rFonts w:ascii="方正黑体_GBK" w:hAnsi="宋体" w:eastAsia="方正黑体_GBK" w:cs="宋体"/>
          <w:color w:val="333333"/>
          <w:sz w:val="32"/>
          <w:szCs w:val="32"/>
          <w:shd w:val="clear" w:color="auto" w:fill="FFFFFF"/>
        </w:rPr>
      </w:pPr>
      <w:r>
        <w:rPr>
          <w:rFonts w:hint="eastAsia" w:ascii="方正黑体_GBK" w:hAnsi="宋体" w:eastAsia="方正黑体_GBK" w:cs="宋体"/>
          <w:color w:val="333333"/>
          <w:sz w:val="32"/>
          <w:szCs w:val="32"/>
          <w:shd w:val="clear" w:color="auto" w:fill="FFFFFF"/>
        </w:rPr>
        <w:t>一、总体情况</w:t>
      </w:r>
    </w:p>
    <w:p>
      <w:pPr>
        <w:pStyle w:val="5"/>
        <w:widowControl/>
        <w:shd w:val="clear" w:color="auto" w:fill="FFFFFF"/>
        <w:spacing w:before="0" w:beforeAutospacing="0" w:after="0" w:afterAutospacing="0" w:line="600" w:lineRule="exact"/>
        <w:ind w:firstLine="608" w:firstLineChars="200"/>
        <w:jc w:val="both"/>
        <w:rPr>
          <w:rFonts w:ascii="仿宋" w:hAnsi="仿宋" w:eastAsia="仿宋" w:cs="仿宋"/>
          <w:color w:val="333333"/>
          <w:sz w:val="32"/>
          <w:szCs w:val="32"/>
          <w:shd w:val="clear" w:color="auto" w:fill="FFFFFF"/>
        </w:rPr>
      </w:pPr>
      <w:r>
        <w:rPr>
          <w:rFonts w:hint="eastAsia" w:ascii="华文楷体" w:hAnsi="华文楷体" w:eastAsia="华文楷体" w:cs="仿宋"/>
          <w:color w:val="333333"/>
          <w:sz w:val="32"/>
          <w:szCs w:val="32"/>
          <w:shd w:val="clear" w:color="auto" w:fill="FFFFFF"/>
        </w:rPr>
        <w:t>（一）建立健全组织，明确责任分工。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调整了信息公开及保密审查工作领导小组、政务公开领导小组，局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主要负责人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担任组长，各科室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负责人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任成员，办公室具体负责日常信息公开工作。并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以正式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文件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发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至各县局、市局机关各科室、各分局、各直属单位，明确各个科室的职责，积极开展信息公开工作。</w:t>
      </w:r>
    </w:p>
    <w:p>
      <w:pPr>
        <w:pStyle w:val="5"/>
        <w:widowControl/>
        <w:shd w:val="clear" w:color="auto" w:fill="FFFFFF"/>
        <w:spacing w:before="0" w:beforeAutospacing="0" w:after="0" w:afterAutospacing="0" w:line="600" w:lineRule="exact"/>
        <w:ind w:firstLine="608" w:firstLineChars="200"/>
        <w:jc w:val="both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</w:pPr>
      <w:r>
        <w:rPr>
          <w:rFonts w:hint="eastAsia" w:ascii="华文楷体" w:hAnsi="华文楷体" w:eastAsia="华文楷体" w:cs="仿宋"/>
          <w:color w:val="333333"/>
          <w:sz w:val="32"/>
          <w:szCs w:val="32"/>
          <w:shd w:val="clear" w:color="auto" w:fill="FFFFFF"/>
        </w:rPr>
        <w:t>（二）优化门户网站，加大政务公开。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自新修订的《中华人民共和国政府信息公开条例》实施以来，按照市政府要求，结合工作实际，对网站、政务公开栏目进行优化，整合业务相似的栏目，扩充单个栏目的内容。</w:t>
      </w:r>
    </w:p>
    <w:p>
      <w:pPr>
        <w:pStyle w:val="5"/>
        <w:widowControl/>
        <w:shd w:val="clear" w:color="auto" w:fill="FFFFFF"/>
        <w:spacing w:before="0" w:beforeAutospacing="0" w:after="0" w:afterAutospacing="0" w:line="600" w:lineRule="exact"/>
        <w:ind w:firstLine="608" w:firstLineChars="200"/>
        <w:jc w:val="both"/>
        <w:rPr>
          <w:rFonts w:ascii="仿宋" w:hAnsi="仿宋" w:eastAsia="仿宋" w:cs="仿宋"/>
          <w:color w:val="333333"/>
          <w:sz w:val="32"/>
          <w:szCs w:val="32"/>
          <w:shd w:val="clear" w:color="auto" w:fill="FFFFFF"/>
        </w:rPr>
      </w:pPr>
      <w:r>
        <w:rPr>
          <w:rFonts w:hint="eastAsia" w:ascii="华文楷体" w:hAnsi="华文楷体" w:eastAsia="华文楷体" w:cs="仿宋"/>
          <w:color w:val="333333"/>
          <w:sz w:val="32"/>
          <w:szCs w:val="32"/>
          <w:shd w:val="clear" w:color="auto" w:fill="FFFFFF"/>
        </w:rPr>
        <w:t>（三）增加信息数量，提升信息质量。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2019年3月份，亳州市自然资源和规划局挂牌成立，业务范围扩大，转发部、省的信息较多，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各县区、局机关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各科室、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各分局、各直属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机构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向上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报送的信息也逐年增加，且信息内容有深度，多次被部、省、市采用。</w:t>
      </w:r>
    </w:p>
    <w:p>
      <w:pPr>
        <w:pStyle w:val="5"/>
        <w:widowControl/>
        <w:shd w:val="clear" w:color="auto" w:fill="FFFFFF"/>
        <w:spacing w:before="0" w:beforeAutospacing="0" w:after="0" w:afterAutospacing="0" w:line="600" w:lineRule="exact"/>
        <w:ind w:firstLine="608" w:firstLineChars="200"/>
        <w:jc w:val="both"/>
        <w:rPr>
          <w:rFonts w:ascii="仿宋" w:hAnsi="仿宋" w:eastAsia="仿宋" w:cs="仿宋"/>
          <w:color w:val="333333"/>
          <w:sz w:val="32"/>
          <w:szCs w:val="32"/>
          <w:shd w:val="clear" w:color="auto" w:fill="FFFFFF"/>
        </w:rPr>
      </w:pPr>
      <w:r>
        <w:rPr>
          <w:rFonts w:hint="eastAsia" w:ascii="华文楷体" w:hAnsi="华文楷体" w:eastAsia="华文楷体" w:cs="仿宋"/>
          <w:color w:val="333333"/>
          <w:sz w:val="32"/>
          <w:szCs w:val="32"/>
          <w:shd w:val="clear" w:color="auto" w:fill="FFFFFF"/>
        </w:rPr>
        <w:t>（四）开展业务培训，提高公开意识。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2019年10月份组织开展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了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信息公开业务培训，各县局分管负责人、办公室负责人和从事相关业务工作人员；市局机关各科室、各分局、各直属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机构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有关人员和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局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办公室全体人员近80人参加培训。培训班邀请了市委办、市政办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等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有关科室的负责人和技术骨干先后就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政务公开、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公文处理和写作、信息宣传、保密工作进行授课培训。</w:t>
      </w:r>
    </w:p>
    <w:p>
      <w:pPr>
        <w:pStyle w:val="5"/>
        <w:widowControl/>
        <w:shd w:val="clear" w:color="auto" w:fill="FFFFFF"/>
        <w:spacing w:before="0" w:beforeAutospacing="0" w:after="0" w:afterAutospacing="0" w:line="600" w:lineRule="exact"/>
        <w:ind w:firstLine="608" w:firstLineChars="200"/>
        <w:jc w:val="both"/>
        <w:rPr>
          <w:rFonts w:ascii="仿宋" w:hAnsi="仿宋" w:eastAsia="仿宋" w:cs="仿宋"/>
          <w:color w:val="333333"/>
          <w:sz w:val="32"/>
          <w:szCs w:val="32"/>
          <w:shd w:val="clear" w:color="auto" w:fill="FFFFFF"/>
        </w:rPr>
      </w:pPr>
      <w:r>
        <w:rPr>
          <w:rFonts w:hint="eastAsia" w:ascii="华文楷体" w:hAnsi="华文楷体" w:eastAsia="华文楷体" w:cs="仿宋"/>
          <w:color w:val="333333"/>
          <w:sz w:val="32"/>
          <w:szCs w:val="32"/>
          <w:shd w:val="clear" w:color="auto" w:fill="FFFFFF"/>
        </w:rPr>
        <w:t>（五）召开新闻发布会，彰显土地生机。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2019年10月份召开亳州市城乡建设用地增减挂钩工作新闻发布会，介绍了亳州市的土地发展情况，助推亳州市的经济发展。</w:t>
      </w:r>
    </w:p>
    <w:p>
      <w:pPr>
        <w:pStyle w:val="5"/>
        <w:widowControl/>
        <w:shd w:val="clear" w:color="auto" w:fill="FFFFFF"/>
        <w:spacing w:before="0" w:beforeAutospacing="0" w:after="0" w:afterAutospacing="0" w:line="600" w:lineRule="exact"/>
        <w:ind w:firstLine="608" w:firstLineChars="200"/>
        <w:jc w:val="both"/>
        <w:rPr>
          <w:rFonts w:ascii="仿宋" w:hAnsi="仿宋" w:eastAsia="仿宋" w:cs="仿宋"/>
          <w:color w:val="333333"/>
          <w:sz w:val="32"/>
          <w:szCs w:val="32"/>
          <w:shd w:val="clear" w:color="auto" w:fill="FFFFFF"/>
        </w:rPr>
      </w:pPr>
      <w:r>
        <w:rPr>
          <w:rFonts w:hint="eastAsia" w:ascii="华文楷体" w:hAnsi="华文楷体" w:eastAsia="华文楷体" w:cs="仿宋"/>
          <w:color w:val="333333"/>
          <w:sz w:val="32"/>
          <w:szCs w:val="32"/>
          <w:shd w:val="clear" w:color="auto" w:fill="FFFFFF"/>
        </w:rPr>
        <w:t>（六）注重业务考核，加大整改力度。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省厅每季度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和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市政府每月的考核，都是对网站、政务公开信息的检验和甄别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，且考核的指标越来越细化、针对性强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。接到整改通知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后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，仔细研读问题清单，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参照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栏目标准，积极进行整改，并撰写整改报告，在“监督保障”栏目中发布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，及时对工作进行反馈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。</w:t>
      </w:r>
    </w:p>
    <w:p>
      <w:pPr>
        <w:pStyle w:val="5"/>
        <w:widowControl/>
        <w:shd w:val="clear" w:color="auto" w:fill="FFFFFF"/>
        <w:spacing w:before="0" w:beforeAutospacing="0" w:after="0" w:afterAutospacing="0" w:line="600" w:lineRule="exact"/>
        <w:ind w:firstLine="608" w:firstLineChars="200"/>
        <w:jc w:val="both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</w:pPr>
      <w:r>
        <w:rPr>
          <w:rFonts w:hint="eastAsia" w:ascii="华文楷体" w:hAnsi="华文楷体" w:eastAsia="华文楷体" w:cs="仿宋"/>
          <w:color w:val="333333"/>
          <w:sz w:val="32"/>
          <w:szCs w:val="32"/>
          <w:shd w:val="clear" w:color="auto" w:fill="FFFFFF"/>
        </w:rPr>
        <w:t>（七）完善规章制度，提高工作效率。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按照省厅、市政府要求，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完善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了政府信息公开16项制度，从制度上予以保障信息发布及时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性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、准确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性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、精准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性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，便于广大市民群众和网友了解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我市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自然资源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和规划系统的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工作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以及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办理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的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相关业务。</w:t>
      </w:r>
    </w:p>
    <w:p>
      <w:pPr>
        <w:pStyle w:val="5"/>
        <w:widowControl/>
        <w:shd w:val="clear" w:color="auto" w:fill="FFFFFF"/>
        <w:spacing w:before="0" w:beforeAutospacing="0" w:after="0" w:afterAutospacing="0" w:line="600" w:lineRule="exact"/>
        <w:ind w:firstLine="608" w:firstLineChars="200"/>
        <w:jc w:val="both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（八）</w:t>
      </w:r>
      <w:r>
        <w:rPr>
          <w:rFonts w:hint="eastAsia" w:ascii="楷体" w:hAnsi="楷体" w:eastAsia="楷体" w:cs="楷体"/>
          <w:color w:val="333333"/>
          <w:sz w:val="32"/>
          <w:szCs w:val="32"/>
          <w:shd w:val="clear" w:color="auto" w:fill="FFFFFF"/>
          <w:lang w:eastAsia="zh-CN"/>
        </w:rPr>
        <w:t xml:space="preserve">多渠道开展宣传，做到新《条例》深入人心。  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新修订的《中华人民共和国政府信息公开条例》自2019年5月15日起正式施行后，办公室加大学习宣传力度，及时制定了宣传方案，印制宣传纸，购买《条例》手册，并在微博、微信公众号上发布宣传动态；同时利用全国第18个“安全生产月”“6·25”全国土地日积极开展宣传活动。</w:t>
      </w:r>
    </w:p>
    <w:p>
      <w:pPr>
        <w:pStyle w:val="5"/>
        <w:widowControl/>
        <w:shd w:val="clear" w:color="auto" w:fill="FFFFFF"/>
        <w:spacing w:before="0" w:beforeAutospacing="0" w:after="0" w:afterAutospacing="0" w:line="600" w:lineRule="exact"/>
        <w:ind w:firstLine="608" w:firstLineChars="200"/>
        <w:jc w:val="both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（九）整合信息平台，加强信息发布。自亳州市自然资源和规划局挂牌成立以来，原亳州市国土资源局、亳州市林业局、亳州市城乡规划院三家网站进行整合，信息进行迁移，并注销林业局、城乡规划院网站和其他新媒体平台账户，网站名称统一为亳州市自然资源和规划局，微信公众号、微博名称都做了相应修改。同时加强新媒体平台建设，做好日常管理，定期发布信息，针对网友留言，积极回复反馈。</w:t>
      </w:r>
    </w:p>
    <w:p>
      <w:pPr>
        <w:pStyle w:val="5"/>
        <w:widowControl/>
        <w:shd w:val="clear" w:color="auto" w:fill="FFFFFF"/>
        <w:spacing w:before="0" w:beforeAutospacing="0" w:after="0" w:afterAutospacing="0" w:line="600" w:lineRule="exact"/>
        <w:ind w:firstLine="304" w:firstLineChars="100"/>
        <w:jc w:val="both"/>
        <w:rPr>
          <w:rFonts w:ascii="方正黑体_GBK" w:hAnsi="宋体" w:eastAsia="方正黑体_GBK" w:cs="宋体"/>
          <w:color w:val="333333"/>
          <w:sz w:val="32"/>
          <w:szCs w:val="32"/>
          <w:shd w:val="clear" w:color="auto" w:fill="FFFFFF"/>
        </w:rPr>
      </w:pPr>
      <w:r>
        <w:rPr>
          <w:rFonts w:hint="eastAsia" w:ascii="方正黑体_GBK" w:hAnsi="宋体" w:eastAsia="方正黑体_GBK" w:cs="宋体"/>
          <w:color w:val="333333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13"/>
        <w:gridCol w:w="1875"/>
        <w:gridCol w:w="6"/>
        <w:gridCol w:w="1265"/>
        <w:gridCol w:w="188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第二十条第（一）项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本年新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br w:type="textWrapping"/>
            </w:r>
            <w:r>
              <w:rPr>
                <w:rFonts w:hint="eastAsia"/>
                <w:kern w:val="0"/>
                <w:sz w:val="20"/>
                <w:lang w:bidi="ar"/>
              </w:rPr>
              <w:t>制作数量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本年新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br w:type="textWrapping"/>
            </w:r>
            <w:r>
              <w:rPr>
                <w:rFonts w:hint="eastAsia"/>
                <w:kern w:val="0"/>
                <w:sz w:val="20"/>
                <w:lang w:bidi="ar"/>
              </w:rPr>
              <w:t>公开数量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对外公开总数量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规章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规范性文件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Calibri" w:hAnsi="Calibri"/>
                <w:szCs w:val="24"/>
                <w:lang w:val="en-US" w:eastAsia="zh-CN"/>
              </w:rPr>
              <w:t>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0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第二十条第（五）项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行政许可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72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-27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Calibri" w:hAnsi="Calibri"/>
                <w:szCs w:val="24"/>
                <w:lang w:val="en-US" w:eastAsia="zh-CN"/>
              </w:rPr>
              <w:t>530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其他对外管理服务事项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Calibri" w:hAnsi="Calibri"/>
                <w:szCs w:val="24"/>
                <w:lang w:val="en-US" w:eastAsia="zh-CN"/>
              </w:rPr>
              <w:t>150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Calibri" w:hAnsi="Calibri"/>
                <w:szCs w:val="24"/>
                <w:lang w:val="en-US" w:eastAsia="zh-CN"/>
              </w:rPr>
              <w:t>-31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Calibri" w:hAnsi="Calibri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第二十条第（六）项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行政处罚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143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</w:pPr>
          </w:p>
          <w:p>
            <w:pPr>
              <w:spacing w:line="320" w:lineRule="exact"/>
              <w:jc w:val="center"/>
              <w:rPr>
                <w:rFonts w:hint="default" w:ascii="宋体" w:hAnsi="宋体" w:cs="宋体"/>
                <w:color w:val="000000"/>
                <w:kern w:val="0"/>
                <w:sz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-2</w:t>
            </w:r>
          </w:p>
          <w:p>
            <w:pPr>
              <w:spacing w:line="320" w:lineRule="exact"/>
              <w:jc w:val="center"/>
              <w:rPr>
                <w:rFonts w:hint="default" w:ascii="宋体" w:hAnsi="宋体" w:cs="宋体"/>
                <w:color w:val="000000"/>
                <w:kern w:val="0"/>
                <w:sz w:val="20"/>
                <w:lang w:val="en-US" w:eastAsia="zh-CN" w:bidi="ar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13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行政强制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4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-1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第二十条第（八）项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上一年项目数量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本年增/减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行政事业性收费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4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第二十条第（九）项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采购项目数量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采购总金额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政府集中采购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Calibri" w:hAnsi="Calibri"/>
                <w:szCs w:val="24"/>
                <w:lang w:val="en-US" w:eastAsia="zh-CN"/>
              </w:rPr>
              <w:t>7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Calibri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Calibri"/>
                <w:sz w:val="24"/>
                <w:szCs w:val="24"/>
                <w:lang w:val="en-US" w:eastAsia="zh-CN"/>
              </w:rPr>
              <w:t>839.2178万元</w:t>
            </w:r>
          </w:p>
        </w:tc>
      </w:tr>
    </w:tbl>
    <w:p>
      <w:pPr>
        <w:pStyle w:val="5"/>
        <w:widowControl/>
        <w:shd w:val="clear" w:color="auto" w:fill="FFFFFF"/>
        <w:spacing w:before="0" w:beforeAutospacing="0" w:after="0" w:afterAutospacing="0" w:line="400" w:lineRule="exact"/>
        <w:rPr>
          <w:rFonts w:ascii="方正黑体_GBK" w:hAnsi="宋体" w:eastAsia="方正黑体_GBK" w:cs="宋体"/>
          <w:color w:val="333333"/>
          <w:sz w:val="32"/>
          <w:szCs w:val="32"/>
          <w:shd w:val="clear" w:color="auto" w:fill="FFFFFF"/>
        </w:rPr>
      </w:pPr>
      <w:r>
        <w:rPr>
          <w:rFonts w:hint="eastAsia" w:ascii="方正黑体_GBK" w:hAnsi="宋体" w:eastAsia="方正黑体_GBK" w:cs="宋体"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6"/>
        <w:tblW w:w="907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7"/>
        <w:gridCol w:w="854"/>
        <w:gridCol w:w="2086"/>
        <w:gridCol w:w="813"/>
        <w:gridCol w:w="755"/>
        <w:gridCol w:w="755"/>
        <w:gridCol w:w="813"/>
        <w:gridCol w:w="973"/>
        <w:gridCol w:w="711"/>
        <w:gridCol w:w="6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57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（本列数据的勾稽关系为：第一项加第二项之和，等于第三项加第四项之和）</w:t>
            </w:r>
          </w:p>
        </w:tc>
        <w:tc>
          <w:tcPr>
            <w:tcW w:w="5514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申请人情况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57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1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自然人</w:t>
            </w:r>
          </w:p>
        </w:tc>
        <w:tc>
          <w:tcPr>
            <w:tcW w:w="400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法人或其他组织</w:t>
            </w:r>
          </w:p>
        </w:tc>
        <w:tc>
          <w:tcPr>
            <w:tcW w:w="69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57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1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商业企业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科研机构</w:t>
            </w:r>
          </w:p>
        </w:tc>
        <w:tc>
          <w:tcPr>
            <w:tcW w:w="81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社会公益组织</w:t>
            </w:r>
          </w:p>
        </w:tc>
        <w:tc>
          <w:tcPr>
            <w:tcW w:w="9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法律服务机构</w:t>
            </w:r>
          </w:p>
        </w:tc>
        <w:tc>
          <w:tcPr>
            <w:tcW w:w="71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其他</w:t>
            </w:r>
          </w:p>
        </w:tc>
        <w:tc>
          <w:tcPr>
            <w:tcW w:w="69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5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一、本年新收政府信息公开申请数量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bidi="ar"/>
              </w:rPr>
              <w:t>4</w:t>
            </w: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8</w:t>
            </w: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8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55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二、上年结转政府信息公开申请数量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（一）予以公开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7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</w:p>
        </w:tc>
        <w:tc>
          <w:tcPr>
            <w:tcW w:w="69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cs="Calibri"/>
                <w:color w:val="333333"/>
                <w:kern w:val="0"/>
                <w:sz w:val="20"/>
                <w:lang w:bidi="ar"/>
              </w:rPr>
              <w:t> </w:t>
            </w: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（二）部分公开（区分处理的，只计这一情形，不计其他情形）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13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1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（三）不予公开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1.属于国家秘密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2.其他法律行政法规禁止公开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3.危及“三安全一稳定”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4.保护第三方合法权益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bidi="ar"/>
              </w:rPr>
              <w:t>1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5.属于三类内部事务信息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6.属于四类过程性信息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Calibri" w:hAnsi="Calibri"/>
                <w:szCs w:val="24"/>
                <w:lang w:val="en-US" w:eastAsia="zh-CN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7.属于行政执法案卷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8.属于行政查询事项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（四）无法提供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1.本机关不掌握相关政府信息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Calibri" w:hAnsi="Calibri"/>
                <w:szCs w:val="24"/>
                <w:lang w:val="en-US" w:eastAsia="zh-CN"/>
              </w:rPr>
              <w:t>27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6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2.没有现成信息需要另行制作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ascii="Calibri" w:hAnsi="Calibri"/>
                <w:szCs w:val="24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3.补正后申请内容仍不明确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restart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（五）不予处理</w:t>
            </w: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1.信访举报投诉类申请</w:t>
            </w:r>
          </w:p>
        </w:tc>
        <w:tc>
          <w:tcPr>
            <w:tcW w:w="813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08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2.重复申请</w:t>
            </w:r>
          </w:p>
        </w:tc>
        <w:tc>
          <w:tcPr>
            <w:tcW w:w="81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08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3.要求提供公开出版物</w:t>
            </w:r>
          </w:p>
        </w:tc>
        <w:tc>
          <w:tcPr>
            <w:tcW w:w="81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08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4.无正当理由大量反复申请</w:t>
            </w:r>
          </w:p>
        </w:tc>
        <w:tc>
          <w:tcPr>
            <w:tcW w:w="81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5.要求行政机关确认或重新出具已获取信息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（六）其他处理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lang w:bidi="ar"/>
              </w:rPr>
              <w:t>（七）总计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48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7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57" w:type="dxa"/>
            <w:gridSpan w:val="3"/>
            <w:tcBorders>
              <w:top w:val="single" w:color="auto" w:sz="0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四、结转下年度继续办理</w:t>
            </w:r>
          </w:p>
        </w:tc>
        <w:tc>
          <w:tcPr>
            <w:tcW w:w="813" w:type="dxa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bidi="ar"/>
              </w:rPr>
              <w:t>1</w:t>
            </w:r>
          </w:p>
        </w:tc>
        <w:tc>
          <w:tcPr>
            <w:tcW w:w="755" w:type="dxa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Calibri" w:hAnsi="Calibri" w:eastAsia="宋体"/>
                <w:szCs w:val="24"/>
                <w:lang w:val="en-US" w:eastAsia="zh-CN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813" w:type="dxa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973" w:type="dxa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cs="Calibri"/>
                <w:color w:val="333333"/>
                <w:kern w:val="0"/>
                <w:sz w:val="20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outset" w:color="auto" w:sz="6" w:space="0"/>
              <w:left w:val="single" w:color="auto" w:sz="0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333333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94" w:type="dxa"/>
            <w:tcBorders>
              <w:top w:val="outset" w:color="auto" w:sz="6" w:space="0"/>
              <w:left w:val="single" w:color="auto" w:sz="0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333333"/>
                <w:sz w:val="24"/>
                <w:szCs w:val="24"/>
                <w:lang w:val="en-US" w:eastAsia="zh-CN"/>
              </w:rPr>
              <w:t>1</w:t>
            </w:r>
          </w:p>
        </w:tc>
      </w:tr>
    </w:tbl>
    <w:p>
      <w:pPr>
        <w:pStyle w:val="5"/>
        <w:widowControl/>
        <w:shd w:val="clear" w:color="auto" w:fill="FFFFFF"/>
        <w:spacing w:before="0" w:beforeAutospacing="0" w:after="0" w:afterAutospacing="0" w:line="400" w:lineRule="exact"/>
        <w:rPr>
          <w:rFonts w:ascii="方正黑体_GBK" w:hAnsi="宋体" w:eastAsia="方正黑体_GBK" w:cs="宋体"/>
          <w:color w:val="333333"/>
          <w:sz w:val="32"/>
          <w:szCs w:val="32"/>
          <w:shd w:val="clear" w:color="auto" w:fill="FFFFFF"/>
        </w:rPr>
      </w:pPr>
      <w:r>
        <w:rPr>
          <w:rFonts w:hint="eastAsia" w:ascii="方正黑体_GBK" w:hAnsi="宋体" w:eastAsia="方正黑体_GBK" w:cs="宋体"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6"/>
        <w:tblW w:w="907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行政诉讼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复议后起诉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Calibri" w:hAnsi="Calibri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0"/>
                <w:lang w:bidi="ar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Calibri" w:hAnsi="Calibri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33333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sz w:val="20"/>
                <w:szCs w:val="20"/>
                <w:lang w:val="en-US" w:eastAsia="zh-CN"/>
              </w:rPr>
              <w:t>0</w:t>
            </w:r>
          </w:p>
        </w:tc>
      </w:tr>
    </w:tbl>
    <w:p>
      <w:pPr>
        <w:pStyle w:val="5"/>
        <w:widowControl/>
        <w:numPr>
          <w:ilvl w:val="0"/>
          <w:numId w:val="1"/>
        </w:numPr>
        <w:shd w:val="clear" w:color="auto" w:fill="FFFFFF"/>
        <w:spacing w:before="0" w:beforeAutospacing="0" w:after="0" w:afterAutospacing="0" w:line="400" w:lineRule="exact"/>
        <w:jc w:val="both"/>
        <w:rPr>
          <w:rFonts w:ascii="方正黑体_GBK" w:hAnsi="宋体" w:eastAsia="方正黑体_GBK" w:cs="宋体"/>
          <w:color w:val="333333"/>
          <w:sz w:val="32"/>
          <w:szCs w:val="32"/>
          <w:shd w:val="clear" w:color="auto" w:fill="FFFFFF"/>
        </w:rPr>
      </w:pPr>
      <w:r>
        <w:rPr>
          <w:rFonts w:hint="eastAsia" w:ascii="方正黑体_GBK" w:hAnsi="宋体" w:eastAsia="方正黑体_GBK" w:cs="宋体"/>
          <w:color w:val="333333"/>
          <w:sz w:val="32"/>
          <w:szCs w:val="32"/>
          <w:shd w:val="clear" w:color="auto" w:fill="FFFFFF"/>
        </w:rPr>
        <w:t>存在的主要问题及改进情况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6"/>
        <w:gridCol w:w="2907"/>
        <w:gridCol w:w="29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06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jc w:val="center"/>
              <w:rPr>
                <w:rFonts w:ascii="楷体" w:hAnsi="楷体" w:eastAsia="楷体" w:cs="楷体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楷体" w:hAnsi="楷体" w:eastAsia="楷体" w:cs="楷体"/>
                <w:color w:val="333333"/>
                <w:sz w:val="28"/>
                <w:szCs w:val="28"/>
                <w:shd w:val="clear" w:color="auto" w:fill="FFFFFF"/>
              </w:rPr>
              <w:t>问题类别</w:t>
            </w:r>
          </w:p>
        </w:tc>
        <w:tc>
          <w:tcPr>
            <w:tcW w:w="2907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jc w:val="center"/>
              <w:rPr>
                <w:rFonts w:hint="eastAsia" w:ascii="楷体" w:hAnsi="楷体" w:eastAsia="楷体" w:cs="楷体"/>
                <w:color w:val="333333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hint="eastAsia" w:ascii="楷体" w:hAnsi="楷体" w:eastAsia="楷体" w:cs="楷体"/>
                <w:color w:val="333333"/>
                <w:sz w:val="28"/>
                <w:szCs w:val="28"/>
                <w:shd w:val="clear" w:color="auto" w:fill="FFFFFF"/>
                <w:lang w:eastAsia="zh-CN"/>
              </w:rPr>
              <w:t>具体表现</w:t>
            </w:r>
          </w:p>
        </w:tc>
        <w:tc>
          <w:tcPr>
            <w:tcW w:w="2907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jc w:val="center"/>
              <w:rPr>
                <w:rFonts w:ascii="楷体" w:hAnsi="楷体" w:eastAsia="楷体" w:cs="楷体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楷体" w:hAnsi="楷体" w:eastAsia="楷体" w:cs="楷体"/>
                <w:color w:val="333333"/>
                <w:sz w:val="28"/>
                <w:szCs w:val="28"/>
                <w:shd w:val="clear" w:color="auto" w:fill="FFFFFF"/>
              </w:rPr>
              <w:t>改进情况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06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jc w:val="center"/>
              <w:rPr>
                <w:rFonts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  <w:lang w:eastAsia="zh-CN"/>
              </w:rPr>
              <w:t>部分栏目</w:t>
            </w: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  <w:t>信息发布少</w:t>
            </w:r>
          </w:p>
        </w:tc>
        <w:tc>
          <w:tcPr>
            <w:tcW w:w="2907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rPr>
                <w:rFonts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方正仿宋_GBK" w:hAnsi="宋体" w:eastAsia="方正仿宋_GBK" w:cs="宋体"/>
                <w:color w:val="333333"/>
                <w:sz w:val="28"/>
                <w:szCs w:val="28"/>
                <w:shd w:val="clear" w:color="auto" w:fill="FFFFFF"/>
              </w:rPr>
              <w:t>如本级政策解读栏目，发布的信息大多是转发省、市或者是作出的说明，我局出台</w:t>
            </w:r>
            <w:r>
              <w:rPr>
                <w:rFonts w:hint="eastAsia" w:ascii="方正仿宋_GBK" w:hAnsi="宋体" w:eastAsia="方正仿宋_GBK" w:cs="宋体"/>
                <w:color w:val="333333"/>
                <w:sz w:val="28"/>
                <w:szCs w:val="28"/>
                <w:shd w:val="clear" w:color="auto" w:fill="FFFFFF"/>
                <w:lang w:eastAsia="zh-CN"/>
              </w:rPr>
              <w:t>的</w:t>
            </w:r>
            <w:r>
              <w:rPr>
                <w:rFonts w:hint="eastAsia" w:ascii="方正仿宋_GBK" w:hAnsi="宋体" w:eastAsia="方正仿宋_GBK" w:cs="宋体"/>
                <w:color w:val="333333"/>
                <w:sz w:val="28"/>
                <w:szCs w:val="28"/>
                <w:shd w:val="clear" w:color="auto" w:fill="FFFFFF"/>
              </w:rPr>
              <w:t>文件但是没有对此进行解读</w:t>
            </w:r>
          </w:p>
        </w:tc>
        <w:tc>
          <w:tcPr>
            <w:tcW w:w="2907" w:type="dxa"/>
          </w:tcPr>
          <w:p>
            <w:pPr>
              <w:pStyle w:val="5"/>
              <w:widowControl/>
              <w:shd w:val="clear" w:color="auto" w:fill="FFFFFF"/>
              <w:spacing w:before="0" w:beforeAutospacing="0" w:after="0" w:afterAutospacing="0" w:line="400" w:lineRule="exact"/>
              <w:rPr>
                <w:rFonts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  <w:t>制定了</w:t>
            </w:r>
            <w:r>
              <w:rPr>
                <w:rFonts w:hint="eastAsia" w:ascii="方正仿宋_GBK" w:hAnsi="宋体" w:eastAsia="方正仿宋_GBK" w:cs="宋体"/>
                <w:color w:val="333333"/>
                <w:sz w:val="28"/>
                <w:szCs w:val="28"/>
                <w:shd w:val="clear" w:color="auto" w:fill="FFFFFF"/>
              </w:rPr>
              <w:t>文件政策解读制度，要求科室在出台文件的同时，附带要求解读材料，采用图片、表格等形式进行通俗易懂的解读，便于广大网友准确理解规范性文件，从制度上加以规范。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06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jc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  <w:lang w:eastAsia="zh-CN"/>
              </w:rPr>
              <w:t>部分主动回应质量不高</w:t>
            </w:r>
          </w:p>
        </w:tc>
        <w:tc>
          <w:tcPr>
            <w:tcW w:w="2907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  <w:t>如主动回应栏目，</w:t>
            </w: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  <w:lang w:eastAsia="zh-CN"/>
              </w:rPr>
              <w:t>部分信息质量不高</w:t>
            </w:r>
          </w:p>
        </w:tc>
        <w:tc>
          <w:tcPr>
            <w:tcW w:w="2907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rPr>
                <w:rFonts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  <w:t>主动回应、公开和群众利益相关的信息，如不动产证书办理、测绘证书等，</w:t>
            </w: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  <w:lang w:eastAsia="zh-CN"/>
              </w:rPr>
              <w:t>提高信息质量</w:t>
            </w: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06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jc w:val="center"/>
              <w:rPr>
                <w:rFonts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  <w:t>发布信息</w:t>
            </w: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  <w:lang w:eastAsia="zh-CN"/>
              </w:rPr>
              <w:t>部分</w:t>
            </w: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  <w:t>质量不高</w:t>
            </w:r>
          </w:p>
        </w:tc>
        <w:tc>
          <w:tcPr>
            <w:tcW w:w="2907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rPr>
                <w:rFonts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  <w:t>如行政权力运行结果栏目，发布的信息大多是说明性的</w:t>
            </w:r>
          </w:p>
        </w:tc>
        <w:tc>
          <w:tcPr>
            <w:tcW w:w="2907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rPr>
                <w:rFonts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  <w:t>提高信息发布质量，以公开为常态、不公开为意外，在规定的范围内，积极公布一些群众关心、与生活息息相关的信息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06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jc w:val="center"/>
              <w:rPr>
                <w:rFonts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  <w:t>学习借鉴能力不足</w:t>
            </w:r>
          </w:p>
        </w:tc>
        <w:tc>
          <w:tcPr>
            <w:tcW w:w="2907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  <w:t>如工作推进栏目，不清楚具体应该发布哪些信息，哪些信息需要发布到哪里</w:t>
            </w: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  <w:lang w:eastAsia="zh-CN"/>
              </w:rPr>
              <w:t>，没有采取积极的态度向其他单位学习、交流</w:t>
            </w:r>
          </w:p>
        </w:tc>
        <w:tc>
          <w:tcPr>
            <w:tcW w:w="2907" w:type="dxa"/>
          </w:tcPr>
          <w:p>
            <w:pPr>
              <w:pStyle w:val="5"/>
              <w:widowControl/>
              <w:spacing w:before="0" w:beforeAutospacing="0" w:after="0" w:afterAutospacing="0" w:line="400" w:lineRule="exact"/>
              <w:rPr>
                <w:rFonts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  <w:t>通过月度、季度考核以及相关的培训，</w:t>
            </w: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  <w:lang w:eastAsia="zh-CN"/>
              </w:rPr>
              <w:t>并向政务信息公开发布优秀单位学习、交流，</w:t>
            </w: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shd w:val="clear" w:color="auto" w:fill="FFFFFF"/>
              </w:rPr>
              <w:t>逐步摸清各个栏目设置的初衷、要求，并规范信息的发布，争取所有的栏目信息尽可能的完善。</w:t>
            </w:r>
          </w:p>
        </w:tc>
      </w:tr>
    </w:tbl>
    <w:p>
      <w:pPr>
        <w:pStyle w:val="5"/>
        <w:widowControl/>
        <w:shd w:val="clear" w:color="auto" w:fill="FFFFFF"/>
        <w:spacing w:before="0" w:beforeAutospacing="0" w:after="0" w:afterAutospacing="0" w:line="400" w:lineRule="exact"/>
        <w:jc w:val="both"/>
        <w:rPr>
          <w:rFonts w:ascii="方正黑体_GBK" w:hAnsi="宋体" w:eastAsia="方正黑体_GBK" w:cs="宋体"/>
          <w:color w:val="333333"/>
          <w:sz w:val="32"/>
          <w:szCs w:val="32"/>
          <w:shd w:val="clear" w:color="auto" w:fill="FFFFFF"/>
        </w:rPr>
      </w:pPr>
      <w:r>
        <w:rPr>
          <w:rFonts w:hint="eastAsia" w:ascii="方正黑体_GBK" w:hAnsi="宋体" w:eastAsia="方正黑体_GBK" w:cs="宋体"/>
          <w:color w:val="333333"/>
          <w:sz w:val="32"/>
          <w:szCs w:val="32"/>
          <w:shd w:val="clear" w:color="auto" w:fill="FFFFFF"/>
        </w:rPr>
        <w:t>六、其他需要报告的事项</w:t>
      </w:r>
    </w:p>
    <w:p>
      <w:pPr>
        <w:rPr>
          <w:rFonts w:hint="eastAsia" w:ascii="仿宋" w:hAnsi="仿宋" w:eastAsia="仿宋" w:cs="仿宋"/>
          <w:bCs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Cs/>
          <w:color w:val="333333"/>
          <w:sz w:val="32"/>
          <w:szCs w:val="32"/>
          <w:shd w:val="clear" w:color="auto" w:fill="FFFFFF"/>
        </w:rPr>
        <w:t xml:space="preserve">   </w:t>
      </w:r>
      <w:r>
        <w:rPr>
          <w:rFonts w:hint="eastAsia" w:ascii="宋体" w:hAnsi="宋体" w:cs="宋体"/>
          <w:bCs/>
          <w:color w:val="333333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eastAsia" w:ascii="仿宋" w:hAnsi="仿宋" w:eastAsia="仿宋" w:cs="仿宋"/>
          <w:bCs/>
          <w:color w:val="333333"/>
          <w:sz w:val="32"/>
          <w:szCs w:val="32"/>
          <w:shd w:val="clear" w:color="auto" w:fill="FFFFFF"/>
          <w:lang w:val="en-US" w:eastAsia="zh-CN"/>
        </w:rPr>
        <w:t>2019年3月份亳州市自然资源和规划局挂牌成立，行政业务增多，需要上报的信息不仅包括土地、矿产、林业，还包括市政规划等方面，涵盖的业务科室也越来越多，需要各个科室共同协作、通力配合。这对于我单位来说既是挑战又是机遇。挑战在于行政职能多，负责发布、上报的信息增多，接受的考核也越多；同时这又是一个展示自然资源和规划部门工作风采的一个极好机遇。</w:t>
      </w:r>
    </w:p>
    <w:p>
      <w:pPr>
        <w:rPr>
          <w:rFonts w:hint="default" w:ascii="仿宋" w:hAnsi="仿宋" w:eastAsia="仿宋" w:cs="仿宋"/>
          <w:bCs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Cs/>
          <w:color w:val="333333"/>
          <w:sz w:val="32"/>
          <w:szCs w:val="32"/>
          <w:shd w:val="clear" w:color="auto" w:fill="FFFFFF"/>
          <w:lang w:val="en-US" w:eastAsia="zh-CN"/>
        </w:rPr>
        <w:t xml:space="preserve">   </w:t>
      </w:r>
    </w:p>
    <w:p>
      <w:pPr>
        <w:rPr>
          <w:rFonts w:ascii="方正仿宋_GBK" w:eastAsia="方正仿宋_GBK"/>
          <w:sz w:val="32"/>
          <w:szCs w:val="32"/>
        </w:rPr>
      </w:pPr>
    </w:p>
    <w:p/>
    <w:p/>
    <w:sectPr>
      <w:headerReference r:id="rId5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985" w:right="1701" w:bottom="1701" w:left="1701" w:header="567" w:footer="1418" w:gutter="0"/>
      <w:pgNumType w:chapStyle="1" w:chapSep="emDash"/>
      <w:cols w:space="425" w:num="1"/>
      <w:titlePg/>
      <w:docGrid w:type="linesAndChars" w:linePitch="579" w:charSpace="-333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ind w:right="24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  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18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63BF84"/>
    <w:multiLevelType w:val="singleLevel"/>
    <w:tmpl w:val="1D63BF8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3ZDRmNTZlMzFiMDMyYTZiNjZiYTY1NzU0YWI3YjkifQ=="/>
  </w:docVars>
  <w:rsids>
    <w:rsidRoot w:val="51814C94"/>
    <w:rsid w:val="003C797B"/>
    <w:rsid w:val="003E7E74"/>
    <w:rsid w:val="005A597A"/>
    <w:rsid w:val="00AF1187"/>
    <w:rsid w:val="00F10C7F"/>
    <w:rsid w:val="01EF3A86"/>
    <w:rsid w:val="02A0120B"/>
    <w:rsid w:val="0364016B"/>
    <w:rsid w:val="03FA141B"/>
    <w:rsid w:val="0600441A"/>
    <w:rsid w:val="088255DC"/>
    <w:rsid w:val="093046A3"/>
    <w:rsid w:val="09C95190"/>
    <w:rsid w:val="0B885123"/>
    <w:rsid w:val="0C262E63"/>
    <w:rsid w:val="0CC6145A"/>
    <w:rsid w:val="0D1438D0"/>
    <w:rsid w:val="0E5813D6"/>
    <w:rsid w:val="0EED38C8"/>
    <w:rsid w:val="0F2A1F79"/>
    <w:rsid w:val="0F6570D1"/>
    <w:rsid w:val="103A4B39"/>
    <w:rsid w:val="11257D7E"/>
    <w:rsid w:val="119752D4"/>
    <w:rsid w:val="11FD41AC"/>
    <w:rsid w:val="13653900"/>
    <w:rsid w:val="14073670"/>
    <w:rsid w:val="16743C96"/>
    <w:rsid w:val="17422240"/>
    <w:rsid w:val="17DA0FE7"/>
    <w:rsid w:val="18502192"/>
    <w:rsid w:val="19362FB6"/>
    <w:rsid w:val="1AC93743"/>
    <w:rsid w:val="1CE03B56"/>
    <w:rsid w:val="1D556C3E"/>
    <w:rsid w:val="1E7F181B"/>
    <w:rsid w:val="1FB6135F"/>
    <w:rsid w:val="1FED7624"/>
    <w:rsid w:val="204E08EC"/>
    <w:rsid w:val="23005E2F"/>
    <w:rsid w:val="239C0ABC"/>
    <w:rsid w:val="251F5F22"/>
    <w:rsid w:val="257C64FE"/>
    <w:rsid w:val="26BA0739"/>
    <w:rsid w:val="27563DB5"/>
    <w:rsid w:val="27723D3D"/>
    <w:rsid w:val="277769F2"/>
    <w:rsid w:val="278A0296"/>
    <w:rsid w:val="29155DBA"/>
    <w:rsid w:val="29467199"/>
    <w:rsid w:val="29D27C0A"/>
    <w:rsid w:val="2B3F788F"/>
    <w:rsid w:val="2CDE6697"/>
    <w:rsid w:val="2D581851"/>
    <w:rsid w:val="2F7A20F4"/>
    <w:rsid w:val="2FC1460C"/>
    <w:rsid w:val="2FEF6CDB"/>
    <w:rsid w:val="30EB47A2"/>
    <w:rsid w:val="31D34E77"/>
    <w:rsid w:val="31E42139"/>
    <w:rsid w:val="33393EF4"/>
    <w:rsid w:val="33780CD9"/>
    <w:rsid w:val="339D1720"/>
    <w:rsid w:val="345A717A"/>
    <w:rsid w:val="3481295C"/>
    <w:rsid w:val="34C51B36"/>
    <w:rsid w:val="350E2D72"/>
    <w:rsid w:val="357D49D8"/>
    <w:rsid w:val="35D440F1"/>
    <w:rsid w:val="37481C9E"/>
    <w:rsid w:val="37B52078"/>
    <w:rsid w:val="389D13A2"/>
    <w:rsid w:val="39B024F2"/>
    <w:rsid w:val="3D992D42"/>
    <w:rsid w:val="3DB41D93"/>
    <w:rsid w:val="3DD73949"/>
    <w:rsid w:val="3E470CCB"/>
    <w:rsid w:val="3EC477C7"/>
    <w:rsid w:val="3EFA6E62"/>
    <w:rsid w:val="3F010273"/>
    <w:rsid w:val="3FFB0FC5"/>
    <w:rsid w:val="418563C9"/>
    <w:rsid w:val="41F604E7"/>
    <w:rsid w:val="42B71116"/>
    <w:rsid w:val="43F22731"/>
    <w:rsid w:val="44B16A12"/>
    <w:rsid w:val="44CF7FF9"/>
    <w:rsid w:val="460C0059"/>
    <w:rsid w:val="47361BC5"/>
    <w:rsid w:val="47C57107"/>
    <w:rsid w:val="48602E56"/>
    <w:rsid w:val="488B2A09"/>
    <w:rsid w:val="48B01D1F"/>
    <w:rsid w:val="49383FA0"/>
    <w:rsid w:val="4A194CBE"/>
    <w:rsid w:val="4BBA45F9"/>
    <w:rsid w:val="4C847B47"/>
    <w:rsid w:val="4CCC3377"/>
    <w:rsid w:val="4E236996"/>
    <w:rsid w:val="4E5D0AE3"/>
    <w:rsid w:val="4FC443B9"/>
    <w:rsid w:val="51814C94"/>
    <w:rsid w:val="51DA6F24"/>
    <w:rsid w:val="52291D12"/>
    <w:rsid w:val="52910952"/>
    <w:rsid w:val="53DF6053"/>
    <w:rsid w:val="57DB4C21"/>
    <w:rsid w:val="58BE7660"/>
    <w:rsid w:val="59124D5D"/>
    <w:rsid w:val="593F4F7F"/>
    <w:rsid w:val="59B973D1"/>
    <w:rsid w:val="5A545CEE"/>
    <w:rsid w:val="5CE763C0"/>
    <w:rsid w:val="5F8B1624"/>
    <w:rsid w:val="60385D01"/>
    <w:rsid w:val="60675E06"/>
    <w:rsid w:val="6375162D"/>
    <w:rsid w:val="65411AB1"/>
    <w:rsid w:val="687B329F"/>
    <w:rsid w:val="68A95A23"/>
    <w:rsid w:val="69517A2A"/>
    <w:rsid w:val="69F5680E"/>
    <w:rsid w:val="6A4F514A"/>
    <w:rsid w:val="6AC46DF9"/>
    <w:rsid w:val="6AF07F8D"/>
    <w:rsid w:val="6BEE0427"/>
    <w:rsid w:val="6D8F0C5E"/>
    <w:rsid w:val="6DAB2D2E"/>
    <w:rsid w:val="6EE40E87"/>
    <w:rsid w:val="706109EE"/>
    <w:rsid w:val="70FF0769"/>
    <w:rsid w:val="716D33C3"/>
    <w:rsid w:val="72490275"/>
    <w:rsid w:val="754157DE"/>
    <w:rsid w:val="756F7735"/>
    <w:rsid w:val="77393CCE"/>
    <w:rsid w:val="78A7540C"/>
    <w:rsid w:val="79041152"/>
    <w:rsid w:val="7B381DD0"/>
    <w:rsid w:val="7C161ABC"/>
    <w:rsid w:val="7C532FEC"/>
    <w:rsid w:val="7CBD367C"/>
    <w:rsid w:val="7CBF1474"/>
    <w:rsid w:val="7CC6418C"/>
    <w:rsid w:val="7CE300FD"/>
    <w:rsid w:val="7D585DAD"/>
    <w:rsid w:val="7E0E2C7F"/>
    <w:rsid w:val="7E1044E3"/>
    <w:rsid w:val="7F9D054E"/>
    <w:rsid w:val="7FBF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jc w:val="left"/>
      <w:outlineLvl w:val="0"/>
    </w:pPr>
    <w:rPr>
      <w:rFonts w:hint="eastAsia" w:ascii="宋体" w:hAnsi="宋体"/>
      <w:kern w:val="44"/>
      <w:sz w:val="42"/>
      <w:szCs w:val="42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仿宋_GB2312"/>
      <w:sz w:val="18"/>
      <w:szCs w:val="18"/>
    </w:rPr>
  </w:style>
  <w:style w:type="paragraph" w:styleId="5">
    <w:name w:val="Normal (Web)"/>
    <w:basedOn w:val="1"/>
    <w:unhideWhenUsed/>
    <w:qFormat/>
    <w:uiPriority w:val="0"/>
    <w:pPr>
      <w:spacing w:before="100" w:beforeAutospacing="1" w:after="100" w:afterAutospacing="1"/>
      <w:jc w:val="left"/>
    </w:pPr>
    <w:rPr>
      <w:rFonts w:ascii="Calibri" w:hAnsi="Calibri"/>
      <w:kern w:val="0"/>
      <w:sz w:val="24"/>
      <w:szCs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FollowedHyperlink"/>
    <w:basedOn w:val="8"/>
    <w:qFormat/>
    <w:uiPriority w:val="0"/>
    <w:rPr>
      <w:color w:val="333333"/>
      <w:u w:val="none"/>
    </w:rPr>
  </w:style>
  <w:style w:type="character" w:styleId="11">
    <w:name w:val="HTML Definition"/>
    <w:basedOn w:val="8"/>
    <w:qFormat/>
    <w:uiPriority w:val="0"/>
    <w:rPr>
      <w:i/>
      <w:shd w:val="clear" w:fill="F5F5F5"/>
    </w:rPr>
  </w:style>
  <w:style w:type="character" w:styleId="12">
    <w:name w:val="HTML Acronym"/>
    <w:basedOn w:val="8"/>
    <w:qFormat/>
    <w:uiPriority w:val="0"/>
  </w:style>
  <w:style w:type="character" w:styleId="13">
    <w:name w:val="Hyperlink"/>
    <w:basedOn w:val="8"/>
    <w:qFormat/>
    <w:uiPriority w:val="0"/>
    <w:rPr>
      <w:color w:val="333333"/>
      <w:u w:val="none"/>
    </w:rPr>
  </w:style>
  <w:style w:type="character" w:styleId="14">
    <w:name w:val="HTML Code"/>
    <w:basedOn w:val="8"/>
    <w:qFormat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5">
    <w:name w:val="HTML Keyboard"/>
    <w:basedOn w:val="8"/>
    <w:qFormat/>
    <w:uiPriority w:val="0"/>
    <w:rPr>
      <w:rFonts w:ascii="monospace" w:hAnsi="monospace" w:eastAsia="monospace" w:cs="monospace"/>
      <w:sz w:val="21"/>
      <w:szCs w:val="21"/>
    </w:rPr>
  </w:style>
  <w:style w:type="character" w:styleId="16">
    <w:name w:val="HTML Sample"/>
    <w:basedOn w:val="8"/>
    <w:qFormat/>
    <w:uiPriority w:val="0"/>
    <w:rPr>
      <w:rFonts w:hint="default" w:ascii="monospace" w:hAnsi="monospace" w:eastAsia="monospace" w:cs="monospace"/>
      <w:sz w:val="21"/>
      <w:szCs w:val="21"/>
    </w:rPr>
  </w:style>
  <w:style w:type="character" w:customStyle="1" w:styleId="17">
    <w:name w:val="hover12"/>
    <w:basedOn w:val="8"/>
    <w:qFormat/>
    <w:uiPriority w:val="0"/>
    <w:rPr>
      <w:color w:val="000000"/>
      <w:shd w:val="clear" w:color="auto" w:fill="FFFFFF"/>
    </w:rPr>
  </w:style>
  <w:style w:type="character" w:customStyle="1" w:styleId="18">
    <w:name w:val="u-tit4"/>
    <w:basedOn w:val="8"/>
    <w:qFormat/>
    <w:uiPriority w:val="0"/>
    <w:rPr>
      <w:b/>
      <w:color w:val="CD0000"/>
      <w:sz w:val="24"/>
      <w:szCs w:val="24"/>
    </w:rPr>
  </w:style>
  <w:style w:type="character" w:customStyle="1" w:styleId="19">
    <w:name w:val="wx-space"/>
    <w:basedOn w:val="8"/>
    <w:qFormat/>
    <w:uiPriority w:val="0"/>
  </w:style>
  <w:style w:type="character" w:customStyle="1" w:styleId="20">
    <w:name w:val="wx-space1"/>
    <w:basedOn w:val="8"/>
    <w:qFormat/>
    <w:uiPriority w:val="0"/>
  </w:style>
  <w:style w:type="character" w:customStyle="1" w:styleId="21">
    <w:name w:val="hover14"/>
    <w:basedOn w:val="8"/>
    <w:autoRedefine/>
    <w:qFormat/>
    <w:uiPriority w:val="0"/>
    <w:rPr>
      <w:color w:val="000000"/>
      <w:shd w:val="clear" w:color="auto" w:fill="FFFFFF"/>
    </w:rPr>
  </w:style>
  <w:style w:type="character" w:customStyle="1" w:styleId="22">
    <w:name w:val="u-tit3"/>
    <w:basedOn w:val="8"/>
    <w:autoRedefine/>
    <w:qFormat/>
    <w:uiPriority w:val="0"/>
    <w:rPr>
      <w:b/>
      <w:color w:val="CD0000"/>
      <w:sz w:val="24"/>
      <w:szCs w:val="24"/>
    </w:rPr>
  </w:style>
  <w:style w:type="character" w:customStyle="1" w:styleId="23">
    <w:name w:val="u-tit"/>
    <w:basedOn w:val="8"/>
    <w:autoRedefine/>
    <w:qFormat/>
    <w:uiPriority w:val="0"/>
    <w:rPr>
      <w:b/>
      <w:color w:val="CD0000"/>
      <w:sz w:val="24"/>
      <w:szCs w:val="24"/>
    </w:rPr>
  </w:style>
  <w:style w:type="character" w:customStyle="1" w:styleId="24">
    <w:name w:val="hover13"/>
    <w:basedOn w:val="8"/>
    <w:autoRedefine/>
    <w:qFormat/>
    <w:uiPriority w:val="0"/>
    <w:rPr>
      <w:color w:val="000000"/>
      <w:shd w:val="clear" w:color="auto" w:fill="FFFFFF"/>
    </w:rPr>
  </w:style>
  <w:style w:type="character" w:customStyle="1" w:styleId="25">
    <w:name w:val="first-child"/>
    <w:basedOn w:val="8"/>
    <w:autoRedefine/>
    <w:qFormat/>
    <w:uiPriority w:val="0"/>
  </w:style>
  <w:style w:type="character" w:customStyle="1" w:styleId="26">
    <w:name w:val="layui-layer-tabnow"/>
    <w:basedOn w:val="8"/>
    <w:autoRedefine/>
    <w:qFormat/>
    <w:uiPriority w:val="0"/>
    <w:rPr>
      <w:bdr w:val="single" w:color="CCCCCC" w:sz="6" w:space="0"/>
      <w:shd w:val="clear" w:color="auto" w:fill="FFFFFF"/>
    </w:rPr>
  </w:style>
  <w:style w:type="character" w:customStyle="1" w:styleId="27">
    <w:name w:val="bsharetext"/>
    <w:basedOn w:val="8"/>
    <w:autoRedefine/>
    <w:qFormat/>
    <w:uiPriority w:val="0"/>
  </w:style>
  <w:style w:type="character" w:customStyle="1" w:styleId="28">
    <w:name w:val="u-tit6"/>
    <w:basedOn w:val="8"/>
    <w:autoRedefine/>
    <w:qFormat/>
    <w:uiPriority w:val="0"/>
    <w:rPr>
      <w:b/>
      <w:color w:val="CD0000"/>
      <w:sz w:val="24"/>
      <w:szCs w:val="24"/>
    </w:rPr>
  </w:style>
  <w:style w:type="character" w:customStyle="1" w:styleId="29">
    <w:name w:val="handle"/>
    <w:basedOn w:val="8"/>
    <w:autoRedefine/>
    <w:qFormat/>
    <w:uiPriority w:val="0"/>
  </w:style>
  <w:style w:type="character" w:customStyle="1" w:styleId="30">
    <w:name w:val="layui-this"/>
    <w:basedOn w:val="8"/>
    <w:autoRedefine/>
    <w:qFormat/>
    <w:uiPriority w:val="0"/>
    <w:rPr>
      <w:bdr w:val="single" w:color="EEEEEE" w:sz="6" w:space="0"/>
      <w:shd w:val="clear" w:fill="FFFFFF"/>
    </w:rPr>
  </w:style>
  <w:style w:type="character" w:customStyle="1" w:styleId="31">
    <w:name w:val="direct"/>
    <w:basedOn w:val="8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6</Pages>
  <Words>2667</Words>
  <Characters>2738</Characters>
  <Lines>18</Lines>
  <Paragraphs>5</Paragraphs>
  <TotalTime>54</TotalTime>
  <ScaleCrop>false</ScaleCrop>
  <LinksUpToDate>false</LinksUpToDate>
  <CharactersWithSpaces>2765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2020-01-10T01:38:00Z</dcterms:created>
  <dc:creator>红色水果硬糖</dc:creator>
  <cp:lastModifiedBy>Lucky</cp:lastModifiedBy>
  <cp:lastPrinted>2020-06-03T07:35:00Z</cp:lastPrinted>
  <dcterms:modified xsi:type="dcterms:W3CDTF">2024-01-12T03:38:12Z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AFB875E6C4AC495189B32F724D14F35D</vt:lpwstr>
  </property>
</Properties>
</file>