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F2E8FF">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both"/>
        <w:textAlignment w:val="auto"/>
      </w:pPr>
    </w:p>
    <w:p w14:paraId="2010A5A5">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eastAsia="zh-CN"/>
        </w:rPr>
      </w:pPr>
    </w:p>
    <w:p w14:paraId="1790E686">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关于印发《解决部分工业项目不动产登记</w:t>
      </w:r>
    </w:p>
    <w:p w14:paraId="44F518A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历史遗留问题的处置意见》的通知</w:t>
      </w:r>
    </w:p>
    <w:p w14:paraId="1B7F2547">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方正仿宋_GBK" w:hAnsi="方正仿宋_GBK" w:eastAsia="方正仿宋_GBK" w:cs="方正仿宋_GBK"/>
          <w:snapToGrid w:val="0"/>
          <w:color w:val="000000"/>
          <w:kern w:val="0"/>
          <w:sz w:val="32"/>
          <w:szCs w:val="32"/>
        </w:rPr>
      </w:pPr>
      <w:r>
        <w:rPr>
          <w:rFonts w:hint="eastAsia" w:ascii="方正仿宋_GBK" w:hAnsi="方正仿宋_GBK" w:eastAsia="方正仿宋_GBK" w:cs="方正仿宋_GBK"/>
          <w:snapToGrid w:val="0"/>
          <w:color w:val="000000"/>
          <w:kern w:val="0"/>
          <w:sz w:val="32"/>
          <w:szCs w:val="32"/>
        </w:rPr>
        <w:t>亳自然</w:t>
      </w:r>
      <w:r>
        <w:rPr>
          <w:rFonts w:hint="eastAsia" w:ascii="方正仿宋_GBK" w:hAnsi="方正仿宋_GBK" w:eastAsia="方正仿宋_GBK" w:cs="方正仿宋_GBK"/>
          <w:snapToGrid w:val="0"/>
          <w:color w:val="000000"/>
          <w:kern w:val="0"/>
          <w:sz w:val="32"/>
          <w:szCs w:val="32"/>
          <w:lang w:eastAsia="zh-CN"/>
        </w:rPr>
        <w:t>资规函</w:t>
      </w:r>
      <w:r>
        <w:rPr>
          <w:rFonts w:hint="eastAsia" w:ascii="方正仿宋_GBK" w:hAnsi="方正仿宋_GBK" w:eastAsia="方正仿宋_GBK" w:cs="方正仿宋_GBK"/>
          <w:snapToGrid w:val="0"/>
          <w:color w:val="000000"/>
          <w:kern w:val="0"/>
          <w:sz w:val="32"/>
          <w:szCs w:val="32"/>
        </w:rPr>
        <w:t>〔</w:t>
      </w:r>
      <w:r>
        <w:rPr>
          <w:rFonts w:hint="default" w:ascii="Times New Roman" w:hAnsi="Times New Roman" w:eastAsia="方正仿宋_GBK" w:cs="Times New Roman"/>
          <w:snapToGrid w:val="0"/>
          <w:color w:val="000000"/>
          <w:kern w:val="0"/>
          <w:sz w:val="32"/>
          <w:szCs w:val="32"/>
        </w:rPr>
        <w:t>202</w:t>
      </w:r>
      <w:r>
        <w:rPr>
          <w:rFonts w:hint="default" w:ascii="Times New Roman" w:hAnsi="Times New Roman" w:eastAsia="方正仿宋_GBK" w:cs="Times New Roman"/>
          <w:snapToGrid w:val="0"/>
          <w:color w:val="000000"/>
          <w:kern w:val="0"/>
          <w:sz w:val="32"/>
          <w:szCs w:val="32"/>
          <w:lang w:val="en-US" w:eastAsia="zh-CN"/>
        </w:rPr>
        <w:t>2</w:t>
      </w:r>
      <w:r>
        <w:rPr>
          <w:rFonts w:hint="eastAsia" w:ascii="方正仿宋_GBK" w:hAnsi="方正仿宋_GBK" w:eastAsia="方正仿宋_GBK" w:cs="方正仿宋_GBK"/>
          <w:snapToGrid w:val="0"/>
          <w:color w:val="000000"/>
          <w:kern w:val="0"/>
          <w:sz w:val="32"/>
          <w:szCs w:val="32"/>
        </w:rPr>
        <w:t>〕</w:t>
      </w:r>
      <w:r>
        <w:rPr>
          <w:rFonts w:hint="default" w:ascii="Times New Roman" w:hAnsi="Times New Roman" w:eastAsia="方正仿宋_GBK" w:cs="Times New Roman"/>
          <w:snapToGrid w:val="0"/>
          <w:color w:val="000000"/>
          <w:kern w:val="0"/>
          <w:sz w:val="32"/>
          <w:szCs w:val="32"/>
          <w:lang w:val="en-US" w:eastAsia="zh-CN"/>
        </w:rPr>
        <w:t>26</w:t>
      </w:r>
      <w:r>
        <w:rPr>
          <w:rFonts w:hint="eastAsia" w:ascii="方正仿宋_GBK" w:hAnsi="方正仿宋_GBK" w:eastAsia="方正仿宋_GBK" w:cs="方正仿宋_GBK"/>
          <w:snapToGrid w:val="0"/>
          <w:color w:val="000000"/>
          <w:kern w:val="0"/>
          <w:sz w:val="32"/>
          <w:szCs w:val="32"/>
        </w:rPr>
        <w:t>号</w:t>
      </w:r>
    </w:p>
    <w:p w14:paraId="1EEF749C">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p>
    <w:p w14:paraId="7EC8CAB1">
      <w:pPr>
        <w:keepNext w:val="0"/>
        <w:keepLines w:val="0"/>
        <w:pageBreakBefore w:val="0"/>
        <w:widowControl/>
        <w:kinsoku/>
        <w:wordWrap/>
        <w:overflowPunct/>
        <w:topLinePunct w:val="0"/>
        <w:autoSpaceDE/>
        <w:autoSpaceDN/>
        <w:bidi w:val="0"/>
        <w:adjustRightInd/>
        <w:snapToGrid/>
        <w:spacing w:line="590" w:lineRule="exact"/>
        <w:ind w:firstLine="0" w:firstLineChars="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kern w:val="0"/>
          <w:sz w:val="32"/>
          <w:szCs w:val="32"/>
          <w:lang w:bidi="ar"/>
        </w:rPr>
        <w:t>各县、区人民政府，亳州高新区管委会、亳芜现代产业园区管委会</w:t>
      </w:r>
      <w:r>
        <w:rPr>
          <w:rFonts w:hint="eastAsia" w:ascii="方正仿宋_GBK" w:hAnsi="方正仿宋_GBK" w:eastAsia="方正仿宋_GBK" w:cs="方正仿宋_GBK"/>
          <w:sz w:val="32"/>
          <w:szCs w:val="32"/>
        </w:rPr>
        <w:t>：</w:t>
      </w:r>
    </w:p>
    <w:p w14:paraId="777D08B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《关于解决部分工业项目不动产登记历史遗留问题的处置意见》已经市政府同意，现印发给你们，请认真贯彻落实。</w:t>
      </w:r>
    </w:p>
    <w:p w14:paraId="2AF89F0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0ED4C2C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p>
    <w:p w14:paraId="562209AD">
      <w:pPr>
        <w:keepNext w:val="0"/>
        <w:keepLines w:val="0"/>
        <w:pageBreakBefore w:val="0"/>
        <w:widowControl w:val="0"/>
        <w:tabs>
          <w:tab w:val="left" w:pos="271"/>
        </w:tabs>
        <w:kinsoku/>
        <w:wordWrap/>
        <w:overflowPunct/>
        <w:topLinePunct w:val="0"/>
        <w:autoSpaceDE/>
        <w:autoSpaceDN/>
        <w:bidi w:val="0"/>
        <w:adjustRightInd/>
        <w:snapToGrid/>
        <w:spacing w:line="590" w:lineRule="exact"/>
        <w:ind w:right="420" w:rightChars="200" w:firstLine="0" w:firstLineChars="0"/>
        <w:jc w:val="righ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亳州市自然资源和规划局</w:t>
      </w:r>
    </w:p>
    <w:p w14:paraId="6DEF6FAC">
      <w:pPr>
        <w:keepNext w:val="0"/>
        <w:keepLines w:val="0"/>
        <w:pageBreakBefore w:val="0"/>
        <w:widowControl w:val="0"/>
        <w:tabs>
          <w:tab w:val="left" w:pos="271"/>
        </w:tabs>
        <w:kinsoku/>
        <w:wordWrap/>
        <w:overflowPunct/>
        <w:topLinePunct w:val="0"/>
        <w:autoSpaceDE/>
        <w:autoSpaceDN/>
        <w:bidi w:val="0"/>
        <w:adjustRightInd/>
        <w:snapToGrid/>
        <w:spacing w:line="590" w:lineRule="exact"/>
        <w:ind w:right="420" w:rightChars="200" w:firstLine="0" w:firstLineChars="0"/>
        <w:jc w:val="right"/>
        <w:textAlignment w:val="auto"/>
        <w:rPr>
          <w:rFonts w:hint="eastAsia" w:ascii="Times New Roman" w:hAnsi="Times New Roman" w:eastAsia="方正仿宋_GBK" w:cs="Times New Roman"/>
          <w:sz w:val="32"/>
          <w:szCs w:val="32"/>
          <w:lang w:val="en-US" w:eastAsia="zh-CN"/>
        </w:rPr>
      </w:pPr>
      <w:r>
        <w:rPr>
          <w:rFonts w:hint="eastAsia" w:ascii="方正仿宋_GBK" w:hAnsi="方正仿宋_GBK" w:eastAsia="方正仿宋_GBK" w:cs="方正仿宋_GBK"/>
          <w:sz w:val="32"/>
          <w:szCs w:val="32"/>
          <w:lang w:val="en-US" w:eastAsia="zh-CN"/>
        </w:rPr>
        <w:t>亳州市住房和城乡建设局</w:t>
      </w:r>
    </w:p>
    <w:p w14:paraId="2610E7DE">
      <w:pPr>
        <w:keepNext w:val="0"/>
        <w:keepLines w:val="0"/>
        <w:pageBreakBefore w:val="0"/>
        <w:widowControl w:val="0"/>
        <w:tabs>
          <w:tab w:val="left" w:pos="271"/>
        </w:tabs>
        <w:kinsoku/>
        <w:wordWrap/>
        <w:overflowPunct/>
        <w:topLinePunct w:val="0"/>
        <w:autoSpaceDE/>
        <w:autoSpaceDN/>
        <w:bidi w:val="0"/>
        <w:adjustRightInd/>
        <w:snapToGrid/>
        <w:spacing w:line="590" w:lineRule="exact"/>
        <w:ind w:right="945" w:rightChars="450" w:firstLine="0" w:firstLineChars="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202</w:t>
      </w:r>
      <w:r>
        <w:rPr>
          <w:rFonts w:hint="eastAsia"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rPr>
        <w:t>年</w:t>
      </w:r>
      <w:r>
        <w:rPr>
          <w:rFonts w:hint="eastAsia"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rPr>
        <w:t>月</w:t>
      </w:r>
      <w:r>
        <w:rPr>
          <w:rFonts w:hint="eastAsia" w:ascii="Times New Roman" w:hAnsi="Times New Roman" w:eastAsia="方正仿宋_GBK" w:cs="Times New Roman"/>
          <w:sz w:val="32"/>
          <w:szCs w:val="32"/>
          <w:lang w:val="en-US" w:eastAsia="zh-CN"/>
        </w:rPr>
        <w:t>24</w:t>
      </w:r>
      <w:r>
        <w:rPr>
          <w:rFonts w:hint="default" w:ascii="Times New Roman" w:hAnsi="Times New Roman" w:eastAsia="方正仿宋_GBK" w:cs="Times New Roman"/>
          <w:sz w:val="32"/>
          <w:szCs w:val="32"/>
        </w:rPr>
        <w:t>日</w:t>
      </w:r>
    </w:p>
    <w:p w14:paraId="00A0D281">
      <w:pPr>
        <w:keepNext w:val="0"/>
        <w:keepLines w:val="0"/>
        <w:pageBreakBefore w:val="0"/>
        <w:widowControl w:val="0"/>
        <w:tabs>
          <w:tab w:val="left" w:pos="271"/>
        </w:tabs>
        <w:kinsoku/>
        <w:wordWrap/>
        <w:overflowPunct/>
        <w:topLinePunct w:val="0"/>
        <w:autoSpaceDE/>
        <w:autoSpaceDN/>
        <w:bidi w:val="0"/>
        <w:adjustRightInd/>
        <w:snapToGrid/>
        <w:spacing w:line="590" w:lineRule="exact"/>
        <w:ind w:left="420" w:leftChars="200" w:right="0" w:rightChars="0" w:firstLine="0" w:firstLineChars="0"/>
        <w:jc w:val="left"/>
        <w:textAlignment w:val="auto"/>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（此件公开发布）</w:t>
      </w:r>
    </w:p>
    <w:p w14:paraId="771126A1">
      <w:pPr>
        <w:keepNext w:val="0"/>
        <w:keepLines w:val="0"/>
        <w:pageBreakBefore w:val="0"/>
        <w:kinsoku/>
        <w:wordWrap/>
        <w:overflowPunct/>
        <w:topLinePunct w:val="0"/>
        <w:autoSpaceDN/>
        <w:bidi w:val="0"/>
        <w:adjustRightInd/>
        <w:snapToGrid/>
        <w:spacing w:line="590" w:lineRule="exact"/>
        <w:textAlignment w:val="auto"/>
      </w:pPr>
    </w:p>
    <w:p w14:paraId="6F03E412">
      <w:pPr>
        <w:keepNext w:val="0"/>
        <w:keepLines w:val="0"/>
        <w:pageBreakBefore w:val="0"/>
        <w:kinsoku/>
        <w:wordWrap/>
        <w:overflowPunct/>
        <w:topLinePunct w:val="0"/>
        <w:autoSpaceDN/>
        <w:bidi w:val="0"/>
        <w:adjustRightInd/>
        <w:snapToGrid/>
        <w:spacing w:line="590" w:lineRule="exact"/>
        <w:textAlignment w:val="auto"/>
      </w:pPr>
    </w:p>
    <w:p w14:paraId="56E19C9B">
      <w:pPr>
        <w:keepNext w:val="0"/>
        <w:keepLines w:val="0"/>
        <w:pageBreakBefore w:val="0"/>
        <w:kinsoku/>
        <w:wordWrap/>
        <w:overflowPunct/>
        <w:topLinePunct w:val="0"/>
        <w:autoSpaceDN/>
        <w:bidi w:val="0"/>
        <w:adjustRightInd/>
        <w:snapToGrid/>
        <w:spacing w:line="590" w:lineRule="exact"/>
        <w:textAlignment w:val="auto"/>
      </w:pPr>
    </w:p>
    <w:p w14:paraId="733D6539">
      <w:pPr>
        <w:keepNext w:val="0"/>
        <w:keepLines w:val="0"/>
        <w:pageBreakBefore w:val="0"/>
        <w:kinsoku/>
        <w:wordWrap/>
        <w:overflowPunct/>
        <w:topLinePunct w:val="0"/>
        <w:autoSpaceDN/>
        <w:bidi w:val="0"/>
        <w:adjustRightInd/>
        <w:snapToGrid/>
        <w:spacing w:line="590" w:lineRule="exact"/>
        <w:textAlignment w:val="auto"/>
      </w:pPr>
    </w:p>
    <w:p w14:paraId="6C52F1B8">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方正小标宋_GBK" w:hAnsi="方正小标宋_GBK" w:eastAsia="方正小标宋_GBK" w:cs="方正小标宋_GBK"/>
          <w:sz w:val="44"/>
          <w:szCs w:val="44"/>
        </w:rPr>
      </w:pPr>
      <w:bookmarkStart w:id="0" w:name="_GoBack"/>
    </w:p>
    <w:bookmarkEnd w:id="0"/>
    <w:p w14:paraId="4AE1921F">
      <w:pPr>
        <w:keepNext w:val="0"/>
        <w:keepLines w:val="0"/>
        <w:pageBreakBefore w:val="0"/>
        <w:widowControl w:val="0"/>
        <w:kinsoku/>
        <w:wordWrap/>
        <w:overflowPunct/>
        <w:topLinePunct w:val="0"/>
        <w:autoSpaceDE/>
        <w:autoSpaceDN/>
        <w:bidi w:val="0"/>
        <w:adjustRightInd/>
        <w:snapToGrid/>
        <w:spacing w:line="590" w:lineRule="exact"/>
        <w:ind w:firstLine="641"/>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关于解决部分工业项目不动产登记</w:t>
      </w:r>
    </w:p>
    <w:p w14:paraId="01890429">
      <w:pPr>
        <w:keepNext w:val="0"/>
        <w:keepLines w:val="0"/>
        <w:pageBreakBefore w:val="0"/>
        <w:widowControl w:val="0"/>
        <w:kinsoku/>
        <w:wordWrap/>
        <w:overflowPunct/>
        <w:topLinePunct w:val="0"/>
        <w:autoSpaceDE/>
        <w:autoSpaceDN/>
        <w:bidi w:val="0"/>
        <w:adjustRightInd/>
        <w:snapToGrid/>
        <w:spacing w:line="590" w:lineRule="exact"/>
        <w:ind w:firstLine="641"/>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历史遗留问题的处置意见</w:t>
      </w:r>
    </w:p>
    <w:p w14:paraId="418807B4">
      <w:pPr>
        <w:keepNext w:val="0"/>
        <w:keepLines w:val="0"/>
        <w:pageBreakBefore w:val="0"/>
        <w:widowControl w:val="0"/>
        <w:kinsoku/>
        <w:wordWrap/>
        <w:overflowPunct/>
        <w:topLinePunct w:val="0"/>
        <w:autoSpaceDE w:val="0"/>
        <w:autoSpaceDN/>
        <w:bidi w:val="0"/>
        <w:adjustRightInd/>
        <w:snapToGrid/>
        <w:spacing w:line="590" w:lineRule="exact"/>
        <w:ind w:firstLine="880" w:firstLineChars="200"/>
        <w:textAlignment w:val="auto"/>
        <w:rPr>
          <w:rFonts w:hint="eastAsia" w:ascii="方正小标宋简体" w:hAnsi="方正小标宋简体" w:eastAsia="方正小标宋简体" w:cs="方正小标宋简体"/>
          <w:sz w:val="44"/>
          <w:szCs w:val="44"/>
        </w:rPr>
      </w:pPr>
    </w:p>
    <w:p w14:paraId="2E0BD4FD">
      <w:pPr>
        <w:keepNext w:val="0"/>
        <w:keepLines w:val="0"/>
        <w:pageBreakBefore w:val="0"/>
        <w:widowControl w:val="0"/>
        <w:kinsoku/>
        <w:wordWrap/>
        <w:overflowPunct/>
        <w:topLinePunct w:val="0"/>
        <w:autoSpaceDE w:val="0"/>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为妥善处置工业项目历史遗留问题，根据《自然资源部关于加快解决不动产登记若干历史遗留问题的通知》（自然资发〔2021〕1号）、省委省政府《关于创建一流营商环境的意见》和市委市政府《亳州市创建一流营商环境十条举措》（亳发〔2022〕2号）要求，对不动产统一登记制度实施前，部分工业企业因历史原因无法进行不动产登记的，经研究，按照以下方式办理：</w:t>
      </w:r>
    </w:p>
    <w:p w14:paraId="5575BA9F">
      <w:pPr>
        <w:keepNext w:val="0"/>
        <w:keepLines w:val="0"/>
        <w:pageBreakBefore w:val="0"/>
        <w:widowControl w:val="0"/>
        <w:kinsoku/>
        <w:wordWrap/>
        <w:overflowPunct/>
        <w:topLinePunct w:val="0"/>
        <w:autoSpaceDE w:val="0"/>
        <w:autoSpaceDN/>
        <w:bidi w:val="0"/>
        <w:adjustRightInd/>
        <w:snapToGrid/>
        <w:spacing w:line="590" w:lineRule="exact"/>
        <w:ind w:left="0" w:leftChars="0"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一、关于规划方面</w:t>
      </w:r>
    </w:p>
    <w:p w14:paraId="74704A3D">
      <w:pPr>
        <w:keepNext w:val="0"/>
        <w:keepLines w:val="0"/>
        <w:pageBreakBefore w:val="0"/>
        <w:widowControl w:val="0"/>
        <w:kinsoku/>
        <w:wordWrap/>
        <w:overflowPunct/>
        <w:topLinePunct w:val="0"/>
        <w:autoSpaceDE w:val="0"/>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sz w:val="32"/>
          <w:szCs w:val="32"/>
        </w:rPr>
        <w:t>（一）对部分企业在项目建设时未完全按照规划方案建设，</w:t>
      </w:r>
      <w:r>
        <w:rPr>
          <w:rFonts w:hint="default" w:ascii="Times New Roman" w:hAnsi="Times New Roman" w:eastAsia="方正仿宋_GBK" w:cs="Times New Roman"/>
          <w:color w:val="000000" w:themeColor="text1"/>
          <w:sz w:val="32"/>
          <w:szCs w:val="32"/>
          <w14:textFill>
            <w14:solidFill>
              <w14:schemeClr w14:val="tx1"/>
            </w14:solidFill>
          </w14:textFill>
        </w:rPr>
        <w:t>经核查，无违反控制性详细规划且不影响重大公共利益和公共安全、符合相关技术标准、与周边用地和建筑无利益纠纷的工业房屋（包括厂房、配套房屋及其他配套设施），</w:t>
      </w:r>
      <w:r>
        <w:rPr>
          <w:rFonts w:hint="default" w:ascii="Times New Roman" w:hAnsi="Times New Roman" w:eastAsia="方正仿宋_GBK" w:cs="Times New Roman"/>
          <w:color w:val="000000"/>
          <w:sz w:val="32"/>
          <w:szCs w:val="32"/>
        </w:rPr>
        <w:t>按照</w:t>
      </w:r>
      <w:r>
        <w:rPr>
          <w:rFonts w:hint="default" w:ascii="Times New Roman" w:hAnsi="Times New Roman" w:eastAsia="方正仿宋_GBK" w:cs="Times New Roman"/>
          <w:sz w:val="32"/>
          <w:szCs w:val="32"/>
        </w:rPr>
        <w:t>市委市政府《亳州市创建一流营商环境十条举措》（亳发〔2022〕2号）第七条规定</w:t>
      </w:r>
      <w:r>
        <w:rPr>
          <w:rFonts w:hint="eastAsia" w:ascii="Times New Roman" w:hAnsi="Times New Roman" w:eastAsia="方正仿宋_GBK" w:cs="Times New Roman"/>
          <w:sz w:val="32"/>
          <w:szCs w:val="32"/>
          <w:lang w:eastAsia="zh-CN"/>
        </w:rPr>
        <w:t>“</w:t>
      </w:r>
      <w:r>
        <w:rPr>
          <w:rStyle w:val="13"/>
          <w:rFonts w:hint="default" w:ascii="Times New Roman" w:hAnsi="Times New Roman" w:eastAsia="方正仿宋_GBK" w:cs="Times New Roman"/>
          <w:sz w:val="32"/>
          <w:szCs w:val="32"/>
        </w:rPr>
        <w:t>实行企业</w:t>
      </w:r>
      <w:r>
        <w:rPr>
          <w:rFonts w:hint="default" w:ascii="Times New Roman" w:hAnsi="Times New Roman" w:eastAsia="方正仿宋_GBK" w:cs="Times New Roman"/>
          <w:sz w:val="32"/>
          <w:szCs w:val="32"/>
          <w:lang w:eastAsia="zh-CN"/>
        </w:rPr>
        <w:t>‘</w:t>
      </w:r>
      <w:r>
        <w:rPr>
          <w:rStyle w:val="13"/>
          <w:rFonts w:hint="default" w:ascii="Times New Roman" w:hAnsi="Times New Roman" w:eastAsia="方正仿宋_GBK" w:cs="Times New Roman"/>
          <w:sz w:val="32"/>
          <w:szCs w:val="32"/>
        </w:rPr>
        <w:t>轻违免罚</w:t>
      </w:r>
      <w:r>
        <w:rPr>
          <w:rFonts w:hint="default" w:ascii="Times New Roman" w:hAnsi="Times New Roman" w:eastAsia="方正仿宋_GBK" w:cs="Times New Roman"/>
          <w:sz w:val="32"/>
          <w:szCs w:val="32"/>
          <w:lang w:eastAsia="zh-CN"/>
        </w:rPr>
        <w:t>’</w:t>
      </w:r>
      <w:r>
        <w:rPr>
          <w:rStyle w:val="13"/>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rPr>
        <w:t>依法依规制定轻微违法</w:t>
      </w:r>
      <w:r>
        <w:rPr>
          <w:rStyle w:val="13"/>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rPr>
        <w:t>不罚</w:t>
      </w:r>
      <w:r>
        <w:rPr>
          <w:rStyle w:val="13"/>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rPr>
        <w:t>和一般违法</w:t>
      </w:r>
      <w:r>
        <w:rPr>
          <w:rStyle w:val="13"/>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rPr>
        <w:t>轻罚</w:t>
      </w:r>
      <w:r>
        <w:rPr>
          <w:rStyle w:val="13"/>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rPr>
        <w:t>清单，对企业轻微的违规违法行为实行告知警示制度，对及时整改的</w:t>
      </w:r>
      <w:r>
        <w:rPr>
          <w:rFonts w:hint="default" w:ascii="Times New Roman" w:hAnsi="Times New Roman" w:eastAsia="方正仿宋_GBK" w:cs="Times New Roman"/>
          <w:sz w:val="32"/>
          <w:szCs w:val="32"/>
          <w:lang w:eastAsia="zh-CN"/>
        </w:rPr>
        <w:t>不予</w:t>
      </w:r>
      <w:r>
        <w:rPr>
          <w:rFonts w:hint="default" w:ascii="Times New Roman" w:hAnsi="Times New Roman" w:eastAsia="方正仿宋_GBK" w:cs="Times New Roman"/>
          <w:sz w:val="32"/>
          <w:szCs w:val="32"/>
        </w:rPr>
        <w:t>处罚，仍不整改的依法处理</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000000"/>
          <w:sz w:val="32"/>
          <w:szCs w:val="32"/>
        </w:rPr>
        <w:t>由自然资源和规划部门完善规划手续。</w:t>
      </w:r>
    </w:p>
    <w:p w14:paraId="524A9F2B">
      <w:pPr>
        <w:keepNext w:val="0"/>
        <w:keepLines w:val="0"/>
        <w:pageBreakBefore w:val="0"/>
        <w:widowControl w:val="0"/>
        <w:kinsoku/>
        <w:wordWrap/>
        <w:overflowPunct/>
        <w:topLinePunct w:val="0"/>
        <w:autoSpaceDE w:val="0"/>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rPr>
        <w:t>（二）</w:t>
      </w:r>
      <w:r>
        <w:rPr>
          <w:rFonts w:hint="default" w:ascii="Times New Roman" w:hAnsi="Times New Roman" w:eastAsia="方正仿宋_GBK" w:cs="Times New Roman"/>
          <w:sz w:val="32"/>
          <w:szCs w:val="32"/>
        </w:rPr>
        <w:t>对确因建成时间较早等历史遗留原因不具备补办规划手续的，在符合国土空间规划的前提下，报经地方人民政府同意后，自然资源主管部门按现状出具认定或核实意见。</w:t>
      </w:r>
    </w:p>
    <w:p w14:paraId="62B71891">
      <w:pPr>
        <w:keepNext w:val="0"/>
        <w:keepLines w:val="0"/>
        <w:pageBreakBefore w:val="0"/>
        <w:widowControl w:val="0"/>
        <w:numPr>
          <w:ilvl w:val="255"/>
          <w:numId w:val="0"/>
        </w:numPr>
        <w:kinsoku/>
        <w:wordWrap/>
        <w:overflowPunct/>
        <w:topLinePunct w:val="0"/>
        <w:autoSpaceDE w:val="0"/>
        <w:autoSpaceDN/>
        <w:bidi w:val="0"/>
        <w:adjustRightInd/>
        <w:snapToGrid/>
        <w:spacing w:line="590" w:lineRule="exact"/>
        <w:ind w:left="0" w:leftChars="0" w:firstLine="640" w:firstLineChars="200"/>
        <w:textAlignment w:val="auto"/>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二、关于竣工验收方面</w:t>
      </w:r>
    </w:p>
    <w:p w14:paraId="5948094B">
      <w:pPr>
        <w:keepNext w:val="0"/>
        <w:keepLines w:val="0"/>
        <w:pageBreakBefore w:val="0"/>
        <w:widowControl w:val="0"/>
        <w:numPr>
          <w:ilvl w:val="255"/>
          <w:numId w:val="0"/>
        </w:numPr>
        <w:kinsoku/>
        <w:wordWrap/>
        <w:overflowPunct/>
        <w:topLinePunct w:val="0"/>
        <w:autoSpaceDE w:val="0"/>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（一）</w:t>
      </w:r>
      <w:r>
        <w:rPr>
          <w:rFonts w:hint="default" w:ascii="Times New Roman" w:hAnsi="Times New Roman" w:eastAsia="方正仿宋_GBK" w:cs="Times New Roman"/>
          <w:color w:val="000000"/>
          <w:sz w:val="32"/>
          <w:szCs w:val="32"/>
        </w:rPr>
        <w:t>针对已建成投产但对照新消防规范无法满足验收条件的企业，按照</w:t>
      </w:r>
      <w:r>
        <w:rPr>
          <w:rFonts w:hint="eastAsia" w:ascii="Times New Roman" w:hAnsi="Times New Roman" w:eastAsia="方正仿宋_GBK" w:cs="Times New Roman"/>
          <w:color w:val="000000"/>
          <w:sz w:val="32"/>
          <w:szCs w:val="32"/>
          <w:lang w:eastAsia="zh-CN"/>
        </w:rPr>
        <w:t>“</w:t>
      </w:r>
      <w:r>
        <w:rPr>
          <w:rFonts w:hint="default" w:ascii="Times New Roman" w:hAnsi="Times New Roman" w:eastAsia="方正仿宋_GBK" w:cs="Times New Roman"/>
          <w:color w:val="000000"/>
          <w:sz w:val="32"/>
          <w:szCs w:val="32"/>
        </w:rPr>
        <w:t>老项目老办法、新项目新办法</w:t>
      </w:r>
      <w:r>
        <w:rPr>
          <w:rFonts w:hint="eastAsia" w:ascii="Times New Roman" w:hAnsi="Times New Roman" w:eastAsia="方正仿宋_GBK" w:cs="Times New Roman"/>
          <w:color w:val="000000"/>
          <w:sz w:val="32"/>
          <w:szCs w:val="32"/>
          <w:lang w:eastAsia="zh-CN"/>
        </w:rPr>
        <w:t>”</w:t>
      </w:r>
      <w:r>
        <w:rPr>
          <w:rFonts w:hint="default" w:ascii="Times New Roman" w:hAnsi="Times New Roman" w:eastAsia="方正仿宋_GBK" w:cs="Times New Roman"/>
          <w:color w:val="000000"/>
          <w:sz w:val="32"/>
          <w:szCs w:val="32"/>
        </w:rPr>
        <w:t>原则，消防验收可以按施工图审查合格时间对应的消防规范进行验收，住建部门（消防）出具验收意见</w:t>
      </w:r>
      <w:r>
        <w:rPr>
          <w:rFonts w:hint="default" w:ascii="Times New Roman" w:hAnsi="Times New Roman" w:eastAsia="方正仿宋_GBK" w:cs="Times New Roman"/>
          <w:color w:val="000000" w:themeColor="text1"/>
          <w:sz w:val="32"/>
          <w:szCs w:val="32"/>
          <w14:textFill>
            <w14:solidFill>
              <w14:schemeClr w14:val="tx1"/>
            </w14:solidFill>
          </w14:textFill>
        </w:rPr>
        <w:t>。</w:t>
      </w:r>
    </w:p>
    <w:p w14:paraId="2B33A5A0">
      <w:pPr>
        <w:keepNext w:val="0"/>
        <w:keepLines w:val="0"/>
        <w:pageBreakBefore w:val="0"/>
        <w:widowControl w:val="0"/>
        <w:numPr>
          <w:ilvl w:val="255"/>
          <w:numId w:val="0"/>
        </w:numPr>
        <w:kinsoku/>
        <w:wordWrap/>
        <w:overflowPunct/>
        <w:topLinePunct w:val="0"/>
        <w:autoSpaceDE w:val="0"/>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针对项目建设消防验收申报材料缺失的，由建设单位委托具备消防安全评估能力的消防技术服务机构针对建筑现状的安全使用情况进行消防安全评估，取得评估结论合格的《建筑消防安全评估报告》，可作为建筑符合消防安全使用要求的证明材料，作为不动产登记的依据。</w:t>
      </w:r>
    </w:p>
    <w:p w14:paraId="37376AA1">
      <w:pPr>
        <w:keepNext w:val="0"/>
        <w:keepLines w:val="0"/>
        <w:pageBreakBefore w:val="0"/>
        <w:widowControl w:val="0"/>
        <w:kinsoku/>
        <w:wordWrap/>
        <w:overflowPunct/>
        <w:topLinePunct w:val="0"/>
        <w:autoSpaceDE w:val="0"/>
        <w:autoSpaceDN/>
        <w:bidi w:val="0"/>
        <w:adjustRightInd/>
        <w:snapToGrid/>
        <w:spacing w:line="590" w:lineRule="exact"/>
        <w:ind w:left="0" w:leftChars="0" w:firstLine="640" w:firstLineChars="200"/>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themeColor="text1"/>
          <w:sz w:val="32"/>
          <w:szCs w:val="32"/>
          <w14:textFill>
            <w14:solidFill>
              <w14:schemeClr w14:val="tx1"/>
            </w14:solidFill>
          </w14:textFill>
        </w:rPr>
        <w:t>（二）对</w:t>
      </w:r>
      <w:r>
        <w:rPr>
          <w:rFonts w:hint="default" w:ascii="Times New Roman" w:hAnsi="Times New Roman" w:eastAsia="方正仿宋_GBK" w:cs="Times New Roman"/>
          <w:sz w:val="32"/>
          <w:szCs w:val="32"/>
        </w:rPr>
        <w:t>部分企业在项目建成后，缺少施工许可等资料无法竣工验收的，</w:t>
      </w:r>
      <w:r>
        <w:rPr>
          <w:rFonts w:hint="default" w:ascii="Times New Roman" w:hAnsi="Times New Roman" w:eastAsia="方正仿宋_GBK" w:cs="Times New Roman"/>
          <w:color w:val="000000" w:themeColor="text1"/>
          <w:sz w:val="32"/>
          <w:szCs w:val="32"/>
          <w14:textFill>
            <w14:solidFill>
              <w14:schemeClr w14:val="tx1"/>
            </w14:solidFill>
          </w14:textFill>
        </w:rPr>
        <w:t>由项目单位委托具备检测资质的法定检测机构对工业项目的房屋（包括厂房、配套房屋及其他配套设施）的结构安全进行鉴定并出具鉴定报告，对鉴定合格的，</w:t>
      </w:r>
      <w:r>
        <w:rPr>
          <w:rFonts w:hint="default" w:ascii="Times New Roman" w:hAnsi="Times New Roman" w:eastAsia="方正仿宋_GBK" w:cs="Times New Roman"/>
          <w:color w:val="000000"/>
          <w:sz w:val="32"/>
          <w:szCs w:val="32"/>
        </w:rPr>
        <w:t>由住建部门盖章确认，作为不动产登记材料。</w:t>
      </w:r>
    </w:p>
    <w:p w14:paraId="5A1B81A4">
      <w:pPr>
        <w:keepNext w:val="0"/>
        <w:keepLines w:val="0"/>
        <w:pageBreakBefore w:val="0"/>
        <w:widowControl w:val="0"/>
        <w:kinsoku/>
        <w:wordWrap/>
        <w:overflowPunct/>
        <w:topLinePunct w:val="0"/>
        <w:autoSpaceDE w:val="0"/>
        <w:autoSpaceDN/>
        <w:bidi w:val="0"/>
        <w:adjustRightInd/>
        <w:snapToGrid/>
        <w:spacing w:line="590" w:lineRule="exact"/>
        <w:ind w:left="0" w:leftChars="0" w:firstLine="640" w:firstLineChars="200"/>
        <w:textAlignment w:val="auto"/>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三、不动产登记方面</w:t>
      </w:r>
    </w:p>
    <w:p w14:paraId="3BEE23F3">
      <w:pPr>
        <w:keepNext w:val="0"/>
        <w:keepLines w:val="0"/>
        <w:pageBreakBefore w:val="0"/>
        <w:widowControl w:val="0"/>
        <w:kinsoku/>
        <w:wordWrap/>
        <w:overflowPunct/>
        <w:topLinePunct w:val="0"/>
        <w:autoSpaceDN/>
        <w:bidi w:val="0"/>
        <w:adjustRightInd/>
        <w:snapToGrid/>
        <w:spacing w:line="590" w:lineRule="exact"/>
        <w:ind w:left="0" w:leftChars="0" w:firstLine="640" w:firstLineChars="200"/>
        <w:textAlignment w:val="auto"/>
      </w:pPr>
      <w:r>
        <w:rPr>
          <w:rFonts w:hint="default" w:ascii="Times New Roman" w:hAnsi="Times New Roman" w:eastAsia="方正仿宋_GBK" w:cs="Times New Roman"/>
          <w:color w:val="000000" w:themeColor="text1"/>
          <w:sz w:val="32"/>
          <w:szCs w:val="32"/>
          <w14:textFill>
            <w14:solidFill>
              <w14:schemeClr w14:val="tx1"/>
            </w14:solidFill>
          </w14:textFill>
        </w:rPr>
        <w:t>项目单位持土地权属来源材料（土地使用证或国有建设用地使用权出让合同）、规划现状认定或核实意见、经住建部门确认的质监、消防意见和房屋测绘报告等材料到不动产登记机构申请办理房屋所有权首次登记，在1个工作日内办结并免收登记费。</w:t>
      </w:r>
    </w:p>
    <w:sectPr>
      <w:headerReference r:id="rId3" w:type="default"/>
      <w:footerReference r:id="rId4" w:type="default"/>
      <w:pgSz w:w="11906" w:h="16838"/>
      <w:pgMar w:top="1962" w:right="1474" w:bottom="1848" w:left="1587" w:header="851" w:footer="992" w:gutter="0"/>
      <w:pgNumType w:fmt="numberInDash"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0AFF" w:usb1="00007843" w:usb2="00000001" w:usb3="00000000" w:csb0="400001BF" w:csb1="DFF7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26C16">
    <w:pPr>
      <w:pStyle w:val="5"/>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428D42">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F428D42">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0A957559">
    <w:pPr>
      <w:pStyle w:val="5"/>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亳州市自然资源和规划局发布</w:t>
    </w:r>
    <w:r>
      <w:rPr>
        <w:rFonts w:hint="eastAsia" w:ascii="宋体" w:hAnsi="宋体" w:eastAsia="宋体" w:cs="宋体"/>
        <w:b/>
        <w:bCs/>
        <w:color w:val="005192"/>
        <w:sz w:val="28"/>
        <w:szCs w:val="44"/>
        <w:lang w:val="en-US" w:eastAsia="zh-CN"/>
      </w:rPr>
      <w:t xml:space="preserve">    </w:t>
    </w:r>
  </w:p>
  <w:p w14:paraId="063D5387">
    <w:pPr>
      <w:pStyle w:val="5"/>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63C6C">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566CBB58">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亳州市自然资源和规划局</w:t>
    </w:r>
    <w:r>
      <w:rPr>
        <w:rFonts w:hint="eastAsia" w:ascii="宋体" w:hAnsi="宋体" w:eastAsia="宋体" w:cs="宋体"/>
        <w:b/>
        <w:bCs/>
        <w:color w:val="005192"/>
        <w:sz w:val="32"/>
        <w:lang w:val="en-US" w:eastAsia="zh-CN"/>
      </w:rPr>
      <w:t>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dhYzVkMDcwODFlMTZlMmMzMThlZGVjYTdhNjBmZDgifQ=="/>
  </w:docVars>
  <w:rsids>
    <w:rsidRoot w:val="3EF83BF2"/>
    <w:rsid w:val="05B71199"/>
    <w:rsid w:val="05BB7115"/>
    <w:rsid w:val="09FE4A5B"/>
    <w:rsid w:val="29440A52"/>
    <w:rsid w:val="3B825C4A"/>
    <w:rsid w:val="3EF83BF2"/>
    <w:rsid w:val="407D2442"/>
    <w:rsid w:val="48CF0930"/>
    <w:rsid w:val="494A4644"/>
    <w:rsid w:val="51986B9A"/>
    <w:rsid w:val="57B60347"/>
    <w:rsid w:val="6BB962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3"/>
    <w:unhideWhenUsed/>
    <w:qFormat/>
    <w:uiPriority w:val="0"/>
    <w:pPr>
      <w:keepNext/>
      <w:keepLines/>
      <w:spacing w:line="580" w:lineRule="exact"/>
      <w:ind w:firstLine="880" w:firstLineChars="200"/>
      <w:outlineLvl w:val="1"/>
    </w:pPr>
    <w:rPr>
      <w:rFonts w:ascii="Times New Roman" w:hAnsi="Times New Roman" w:eastAsia="方正黑体_GBK" w:cs="Times New Roman"/>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bCs/>
    </w:rPr>
  </w:style>
  <w:style w:type="paragraph" w:customStyle="1" w:styleId="10">
    <w:name w:val="p0"/>
    <w:basedOn w:val="1"/>
    <w:qFormat/>
    <w:uiPriority w:val="0"/>
    <w:pPr>
      <w:widowControl/>
    </w:pPr>
    <w:rPr>
      <w:rFonts w:ascii="Calibri" w:hAnsi="Calibri" w:eastAsia="宋体" w:cs="宋体"/>
      <w:kern w:val="0"/>
      <w:szCs w:val="32"/>
    </w:rPr>
  </w:style>
  <w:style w:type="character" w:customStyle="1" w:styleId="11">
    <w:name w:val="font101"/>
    <w:basedOn w:val="8"/>
    <w:qFormat/>
    <w:uiPriority w:val="0"/>
    <w:rPr>
      <w:rFonts w:hint="eastAsia" w:ascii="仿宋_GB2312" w:eastAsia="仿宋_GB2312" w:cs="仿宋_GB2312"/>
      <w:color w:val="444444"/>
      <w:sz w:val="24"/>
      <w:szCs w:val="24"/>
      <w:u w:val="none"/>
    </w:rPr>
  </w:style>
  <w:style w:type="paragraph" w:customStyle="1" w:styleId="12">
    <w:name w:val="Char"/>
    <w:basedOn w:val="1"/>
    <w:qFormat/>
    <w:uiPriority w:val="0"/>
    <w:pPr>
      <w:spacing w:before="100" w:beforeLines="0" w:beforeAutospacing="1" w:after="100" w:afterLines="0" w:afterAutospacing="1"/>
    </w:pPr>
  </w:style>
  <w:style w:type="character" w:customStyle="1" w:styleId="13">
    <w:name w:val="标题 2 Char"/>
    <w:link w:val="2"/>
    <w:qFormat/>
    <w:uiPriority w:val="0"/>
    <w:rPr>
      <w:rFonts w:ascii="Times New Roman" w:hAnsi="Times New Roman" w:eastAsia="方正黑体_GBK" w:cs="Times New Roman"/>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1137</Words>
  <Characters>1154</Characters>
  <Lines>0</Lines>
  <Paragraphs>0</Paragraphs>
  <TotalTime>22</TotalTime>
  <ScaleCrop>false</ScaleCrop>
  <LinksUpToDate>false</LinksUpToDate>
  <CharactersWithSpaces>1154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2022-10-31T03:38:00Z</dcterms:created>
  <dc:creator>系统管理员</dc:creator>
  <cp:lastModifiedBy>Lucky</cp:lastModifiedBy>
  <dcterms:modified xsi:type="dcterms:W3CDTF">2024-11-11T02:46:50Z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4D1A45E6208C4C30B27DBC41991FDB3B</vt:lpwstr>
  </property>
</Properties>
</file>