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328E71">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关于开展立体生态住宅规划建设</w:t>
      </w:r>
    </w:p>
    <w:p w14:paraId="120D597D">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试点工作的通知</w:t>
      </w:r>
    </w:p>
    <w:p w14:paraId="14ECC470">
      <w:pPr>
        <w:ind w:firstLine="3213" w:firstLineChars="1000"/>
        <w:jc w:val="both"/>
        <w:rPr>
          <w:rFonts w:hint="eastAsia" w:ascii="仿宋" w:hAnsi="仿宋" w:eastAsia="仿宋" w:cs="仿宋"/>
          <w:b/>
          <w:bCs/>
          <w:sz w:val="32"/>
          <w:szCs w:val="32"/>
        </w:rPr>
      </w:pPr>
      <w:r>
        <w:rPr>
          <w:rFonts w:hint="eastAsia" w:ascii="仿宋" w:hAnsi="仿宋" w:eastAsia="仿宋" w:cs="仿宋"/>
          <w:b/>
          <w:bCs/>
          <w:sz w:val="32"/>
          <w:szCs w:val="32"/>
        </w:rPr>
        <w:t>(</w:t>
      </w:r>
      <w:r>
        <w:rPr>
          <w:rFonts w:hint="eastAsia" w:ascii="仿宋" w:hAnsi="仿宋" w:eastAsia="仿宋" w:cs="仿宋"/>
          <w:b/>
          <w:bCs/>
          <w:sz w:val="32"/>
          <w:szCs w:val="32"/>
          <w:lang w:eastAsia="zh-CN"/>
        </w:rPr>
        <w:t>征求意见稿</w:t>
      </w:r>
      <w:r>
        <w:rPr>
          <w:rFonts w:hint="eastAsia" w:ascii="仿宋" w:hAnsi="仿宋" w:eastAsia="仿宋" w:cs="仿宋"/>
          <w:b/>
          <w:bCs/>
          <w:sz w:val="32"/>
          <w:szCs w:val="32"/>
        </w:rPr>
        <w:t>)</w:t>
      </w:r>
    </w:p>
    <w:p w14:paraId="578A8005">
      <w:pPr>
        <w:ind w:firstLine="640" w:firstLineChars="200"/>
        <w:jc w:val="center"/>
        <w:rPr>
          <w:rFonts w:hint="eastAsia" w:ascii="仿宋" w:hAnsi="仿宋" w:eastAsia="仿宋" w:cs="仿宋"/>
          <w:sz w:val="32"/>
          <w:szCs w:val="32"/>
        </w:rPr>
      </w:pPr>
    </w:p>
    <w:p w14:paraId="4FF6F82B">
      <w:pPr>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为进一步改善城市人居环境，切实提升人居环境品质，适应房地产市场供求关系新变化，更好满足人民群众对美好生活的向往，结合我市实际，现就开展立体生态住宅规划建设试点工作有关事项通知如下:</w:t>
      </w:r>
    </w:p>
    <w:p w14:paraId="7B090A61">
      <w:pPr>
        <w:ind w:firstLine="640" w:firstLineChars="200"/>
        <w:rPr>
          <w:rFonts w:hint="eastAsia" w:ascii="黑体" w:hAnsi="黑体" w:eastAsia="黑体" w:cs="黑体"/>
          <w:sz w:val="32"/>
          <w:szCs w:val="32"/>
        </w:rPr>
      </w:pPr>
      <w:r>
        <w:rPr>
          <w:rFonts w:hint="eastAsia" w:ascii="黑体" w:hAnsi="黑体" w:eastAsia="黑体" w:cs="黑体"/>
          <w:sz w:val="32"/>
          <w:szCs w:val="32"/>
        </w:rPr>
        <w:t>一、指导思想</w:t>
      </w:r>
    </w:p>
    <w:p w14:paraId="5BBDB94D">
      <w:pPr>
        <w:ind w:firstLine="640" w:firstLineChars="200"/>
        <w:rPr>
          <w:rFonts w:hint="eastAsia" w:ascii="仿宋" w:hAnsi="仿宋" w:eastAsia="仿宋" w:cs="仿宋"/>
          <w:sz w:val="32"/>
          <w:szCs w:val="32"/>
        </w:rPr>
      </w:pPr>
      <w:r>
        <w:rPr>
          <w:rFonts w:hint="eastAsia" w:ascii="仿宋" w:hAnsi="仿宋" w:eastAsia="仿宋" w:cs="仿宋"/>
          <w:sz w:val="32"/>
          <w:szCs w:val="32"/>
        </w:rPr>
        <w:t>以习近平新时代中国特色社会主义思想为指导，认真贯彻党的二十</w:t>
      </w:r>
      <w:r>
        <w:rPr>
          <w:rFonts w:hint="eastAsia" w:ascii="仿宋" w:hAnsi="仿宋" w:eastAsia="仿宋" w:cs="仿宋"/>
          <w:sz w:val="32"/>
          <w:szCs w:val="32"/>
          <w:lang w:eastAsia="zh-CN"/>
        </w:rPr>
        <w:t>届三中全会</w:t>
      </w:r>
      <w:r>
        <w:rPr>
          <w:rFonts w:hint="eastAsia" w:ascii="仿宋" w:hAnsi="仿宋" w:eastAsia="仿宋" w:cs="仿宋"/>
          <w:sz w:val="32"/>
          <w:szCs w:val="32"/>
        </w:rPr>
        <w:t>精神，坚持以人民为中心的发展思想，准确把握我国住房发展已从总量短缺转为结构性供给不足、从“有没有”转向“好不好”的发展趋势，按照经济、适用、安全、绿色、美观的要求，支持</w:t>
      </w:r>
      <w:r>
        <w:rPr>
          <w:rFonts w:hint="eastAsia" w:ascii="仿宋" w:hAnsi="仿宋" w:eastAsia="仿宋" w:cs="仿宋"/>
          <w:sz w:val="32"/>
          <w:szCs w:val="32"/>
          <w:lang w:eastAsia="zh-CN"/>
        </w:rPr>
        <w:t>开展</w:t>
      </w:r>
      <w:r>
        <w:rPr>
          <w:rFonts w:hint="eastAsia" w:ascii="仿宋" w:hAnsi="仿宋" w:eastAsia="仿宋" w:cs="仿宋"/>
          <w:sz w:val="32"/>
          <w:szCs w:val="32"/>
        </w:rPr>
        <w:t>立体生态住宅</w:t>
      </w:r>
      <w:r>
        <w:rPr>
          <w:rFonts w:hint="eastAsia" w:ascii="仿宋" w:hAnsi="仿宋" w:eastAsia="仿宋" w:cs="仿宋"/>
          <w:sz w:val="32"/>
          <w:szCs w:val="32"/>
          <w:lang w:eastAsia="zh-CN"/>
        </w:rPr>
        <w:t>规划建设，</w:t>
      </w:r>
      <w:r>
        <w:rPr>
          <w:rFonts w:hint="eastAsia" w:ascii="仿宋" w:hAnsi="仿宋" w:eastAsia="仿宋" w:cs="仿宋"/>
          <w:sz w:val="32"/>
          <w:szCs w:val="32"/>
        </w:rPr>
        <w:t>提供多样化高质量住宅产品</w:t>
      </w:r>
      <w:r>
        <w:rPr>
          <w:rFonts w:hint="eastAsia" w:ascii="仿宋" w:hAnsi="仿宋" w:eastAsia="仿宋" w:cs="仿宋"/>
          <w:sz w:val="32"/>
          <w:szCs w:val="32"/>
          <w:lang w:eastAsia="zh-CN"/>
        </w:rPr>
        <w:t>，</w:t>
      </w:r>
      <w:r>
        <w:rPr>
          <w:rFonts w:hint="eastAsia" w:ascii="仿宋" w:hAnsi="仿宋" w:eastAsia="仿宋" w:cs="仿宋"/>
          <w:sz w:val="32"/>
          <w:szCs w:val="32"/>
        </w:rPr>
        <w:t>不断满足人民群众对改善型住房的需求。</w:t>
      </w:r>
    </w:p>
    <w:p w14:paraId="1B54CAAE">
      <w:pPr>
        <w:ind w:firstLine="640" w:firstLineChars="200"/>
        <w:rPr>
          <w:rFonts w:hint="eastAsia" w:ascii="黑体" w:hAnsi="黑体" w:eastAsia="黑体" w:cs="黑体"/>
          <w:sz w:val="32"/>
          <w:szCs w:val="32"/>
        </w:rPr>
      </w:pPr>
      <w:r>
        <w:rPr>
          <w:rFonts w:hint="eastAsia" w:ascii="黑体" w:hAnsi="黑体" w:eastAsia="黑体" w:cs="黑体"/>
          <w:sz w:val="32"/>
          <w:szCs w:val="32"/>
        </w:rPr>
        <w:t>二、概念及适用范围</w:t>
      </w:r>
    </w:p>
    <w:p w14:paraId="16A67013">
      <w:pPr>
        <w:ind w:firstLine="640" w:firstLineChars="200"/>
        <w:rPr>
          <w:rFonts w:hint="eastAsia" w:ascii="仿宋" w:hAnsi="仿宋" w:eastAsia="仿宋" w:cs="仿宋"/>
          <w:sz w:val="32"/>
          <w:szCs w:val="32"/>
        </w:rPr>
      </w:pPr>
      <w:r>
        <w:rPr>
          <w:rFonts w:hint="eastAsia" w:ascii="仿宋" w:hAnsi="仿宋" w:eastAsia="仿宋" w:cs="仿宋"/>
          <w:sz w:val="32"/>
          <w:szCs w:val="32"/>
        </w:rPr>
        <w:t>立体生态住宅是将绿色生态理念融入城市建筑，通过设置户属空中花园和公共绿化平台等立体绿化措施，将空中花园与现代建筑相结合，建筑材料和建造方式符合绿色建筑理念的高品质住宅。</w:t>
      </w:r>
    </w:p>
    <w:p w14:paraId="59F81FA5">
      <w:pPr>
        <w:ind w:firstLine="643" w:firstLineChars="200"/>
        <w:rPr>
          <w:rFonts w:hint="eastAsia" w:ascii="仿宋" w:hAnsi="仿宋" w:eastAsia="仿宋" w:cs="仿宋"/>
          <w:sz w:val="32"/>
          <w:szCs w:val="32"/>
        </w:rPr>
      </w:pPr>
      <w:r>
        <w:rPr>
          <w:rFonts w:hint="eastAsia" w:ascii="楷体" w:hAnsi="楷体" w:eastAsia="楷体" w:cs="楷体"/>
          <w:b/>
          <w:bCs/>
          <w:sz w:val="32"/>
          <w:szCs w:val="32"/>
        </w:rPr>
        <w:t>(一)户属空中花园:</w:t>
      </w:r>
      <w:r>
        <w:rPr>
          <w:rFonts w:hint="eastAsia" w:ascii="仿宋" w:hAnsi="仿宋" w:eastAsia="仿宋" w:cs="仿宋"/>
          <w:sz w:val="32"/>
          <w:szCs w:val="32"/>
        </w:rPr>
        <w:t>指高度不小于两个自然层的空中花园，与住宅套内空间连接，宜设置在每套住宅的起居室外或建筑转角处。</w:t>
      </w:r>
    </w:p>
    <w:p w14:paraId="0413C037">
      <w:pPr>
        <w:ind w:firstLine="643" w:firstLineChars="200"/>
        <w:rPr>
          <w:rFonts w:hint="eastAsia" w:ascii="仿宋" w:hAnsi="仿宋" w:eastAsia="仿宋" w:cs="仿宋"/>
          <w:sz w:val="32"/>
          <w:szCs w:val="32"/>
        </w:rPr>
      </w:pPr>
      <w:r>
        <w:rPr>
          <w:rFonts w:hint="eastAsia" w:ascii="楷体" w:hAnsi="楷体" w:eastAsia="楷体" w:cs="楷体"/>
          <w:b/>
          <w:bCs/>
          <w:sz w:val="32"/>
          <w:szCs w:val="32"/>
        </w:rPr>
        <w:t>(二)公共绿化平台:</w:t>
      </w:r>
      <w:r>
        <w:rPr>
          <w:rFonts w:hint="eastAsia" w:ascii="仿宋" w:hAnsi="仿宋" w:eastAsia="仿宋" w:cs="仿宋"/>
          <w:sz w:val="32"/>
          <w:szCs w:val="32"/>
        </w:rPr>
        <w:t>指高度不小于两个自然层，与住宅公共空间连接，供全体业主共享的公共平台，沿开敞面宜设置绿化。</w:t>
      </w:r>
    </w:p>
    <w:p w14:paraId="5B52C1B8">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(三)试点条件</w:t>
      </w:r>
    </w:p>
    <w:p w14:paraId="3B87E169">
      <w:pPr>
        <w:ind w:firstLine="640" w:firstLineChars="200"/>
        <w:rPr>
          <w:rFonts w:hint="eastAsia" w:ascii="仿宋" w:hAnsi="仿宋" w:eastAsia="仿宋" w:cs="仿宋"/>
          <w:sz w:val="32"/>
          <w:szCs w:val="32"/>
        </w:rPr>
      </w:pPr>
      <w:r>
        <w:rPr>
          <w:rFonts w:hint="eastAsia" w:ascii="仿宋" w:hAnsi="仿宋" w:eastAsia="仿宋" w:cs="仿宋"/>
          <w:sz w:val="32"/>
          <w:szCs w:val="32"/>
        </w:rPr>
        <w:t>1.已确定为试点的地块，通过公开出让方式取得的土地，在上市地块出让条件中明确作为立体生态住宅试点项目;非试点地块，可以规划建设立体生态住宅。</w:t>
      </w:r>
    </w:p>
    <w:p w14:paraId="1465D611">
      <w:pPr>
        <w:ind w:firstLine="640" w:firstLineChars="200"/>
        <w:rPr>
          <w:rFonts w:hint="eastAsia" w:ascii="仿宋" w:hAnsi="仿宋" w:eastAsia="仿宋" w:cs="仿宋"/>
          <w:sz w:val="32"/>
          <w:szCs w:val="32"/>
        </w:rPr>
      </w:pPr>
      <w:r>
        <w:rPr>
          <w:rFonts w:hint="eastAsia" w:ascii="仿宋" w:hAnsi="仿宋" w:eastAsia="仿宋" w:cs="仿宋"/>
          <w:sz w:val="32"/>
          <w:szCs w:val="32"/>
        </w:rPr>
        <w:t>2.立体生态住宅应为建筑高度不宜超过</w:t>
      </w:r>
      <w:r>
        <w:rPr>
          <w:rFonts w:hint="eastAsia" w:ascii="仿宋" w:hAnsi="仿宋" w:eastAsia="仿宋" w:cs="仿宋"/>
          <w:sz w:val="32"/>
          <w:szCs w:val="32"/>
          <w:lang w:val="en-US" w:eastAsia="zh-CN"/>
        </w:rPr>
        <w:t>60</w:t>
      </w:r>
      <w:r>
        <w:rPr>
          <w:rFonts w:hint="eastAsia" w:ascii="仿宋" w:hAnsi="仿宋" w:eastAsia="仿宋" w:cs="仿宋"/>
          <w:sz w:val="32"/>
          <w:szCs w:val="32"/>
        </w:rPr>
        <w:t>米的改善型住房，户型套内面积(不含公摊)在</w:t>
      </w:r>
      <w:r>
        <w:rPr>
          <w:rFonts w:hint="eastAsia" w:ascii="仿宋" w:hAnsi="仿宋" w:eastAsia="仿宋" w:cs="仿宋"/>
          <w:sz w:val="32"/>
          <w:szCs w:val="32"/>
          <w:lang w:val="en-US" w:eastAsia="zh-CN"/>
        </w:rPr>
        <w:t>100</w:t>
      </w:r>
      <w:r>
        <w:rPr>
          <w:rFonts w:hint="eastAsia" w:ascii="仿宋" w:hAnsi="仿宋" w:eastAsia="仿宋" w:cs="仿宋"/>
          <w:sz w:val="32"/>
          <w:szCs w:val="32"/>
        </w:rPr>
        <w:t>平方米及以上，每户至少设置1处户属空中花园。</w:t>
      </w:r>
    </w:p>
    <w:p w14:paraId="57327F92">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(四)试点区域</w:t>
      </w:r>
    </w:p>
    <w:p w14:paraId="57A51660">
      <w:pPr>
        <w:ind w:firstLine="640" w:firstLineChars="200"/>
        <w:rPr>
          <w:rFonts w:hint="eastAsia" w:ascii="仿宋" w:hAnsi="仿宋" w:eastAsia="仿宋" w:cs="仿宋"/>
          <w:sz w:val="32"/>
          <w:szCs w:val="32"/>
        </w:rPr>
      </w:pPr>
      <w:r>
        <w:rPr>
          <w:rFonts w:hint="eastAsia" w:ascii="仿宋" w:hAnsi="仿宋" w:eastAsia="仿宋" w:cs="仿宋"/>
          <w:sz w:val="32"/>
          <w:szCs w:val="32"/>
        </w:rPr>
        <w:t>在市区范围内重点选取一些区位条件好、资源环境优越的近期拟上市地块开展试点。具体地块结合片区策划综合考量选取，报市规委会前置审查。</w:t>
      </w:r>
    </w:p>
    <w:p w14:paraId="07D2F431">
      <w:pPr>
        <w:ind w:firstLine="640" w:firstLineChars="200"/>
        <w:rPr>
          <w:rFonts w:hint="eastAsia" w:ascii="黑体" w:hAnsi="黑体" w:eastAsia="黑体" w:cs="黑体"/>
          <w:sz w:val="32"/>
          <w:szCs w:val="32"/>
        </w:rPr>
      </w:pPr>
      <w:r>
        <w:rPr>
          <w:rFonts w:hint="eastAsia" w:ascii="黑体" w:hAnsi="黑体" w:eastAsia="黑体" w:cs="黑体"/>
          <w:sz w:val="32"/>
          <w:szCs w:val="32"/>
        </w:rPr>
        <w:t>三、技术审查要点</w:t>
      </w:r>
    </w:p>
    <w:p w14:paraId="14A43C6D">
      <w:pPr>
        <w:ind w:firstLine="643" w:firstLineChars="200"/>
        <w:rPr>
          <w:rFonts w:hint="eastAsia" w:ascii="仿宋" w:hAnsi="仿宋" w:eastAsia="仿宋" w:cs="仿宋"/>
          <w:sz w:val="32"/>
          <w:szCs w:val="32"/>
        </w:rPr>
      </w:pPr>
      <w:r>
        <w:rPr>
          <w:rFonts w:hint="eastAsia" w:ascii="楷体" w:hAnsi="楷体" w:eastAsia="楷体" w:cs="楷体"/>
          <w:b/>
          <w:bCs/>
          <w:sz w:val="32"/>
          <w:szCs w:val="32"/>
        </w:rPr>
        <w:t>(一)户属空中花园。</w:t>
      </w:r>
      <w:r>
        <w:rPr>
          <w:rFonts w:hint="eastAsia" w:ascii="仿宋" w:hAnsi="仿宋" w:eastAsia="仿宋" w:cs="仿宋"/>
          <w:sz w:val="32"/>
          <w:szCs w:val="32"/>
        </w:rPr>
        <w:t>除满足与住宅套内空间连接外还应当符合以下要求:</w:t>
      </w:r>
    </w:p>
    <w:p w14:paraId="09E00C57">
      <w:pPr>
        <w:ind w:firstLine="640" w:firstLineChars="200"/>
        <w:rPr>
          <w:rFonts w:hint="eastAsia" w:ascii="仿宋" w:hAnsi="仿宋" w:eastAsia="仿宋" w:cs="仿宋"/>
          <w:sz w:val="32"/>
          <w:szCs w:val="32"/>
        </w:rPr>
      </w:pPr>
      <w:r>
        <w:rPr>
          <w:rFonts w:hint="eastAsia" w:ascii="仿宋" w:hAnsi="仿宋" w:eastAsia="仿宋" w:cs="仿宋"/>
          <w:sz w:val="32"/>
          <w:szCs w:val="32"/>
        </w:rPr>
        <w:t>1.每户户属空中花园总投影面积不应小于</w:t>
      </w:r>
      <w:r>
        <w:rPr>
          <w:rFonts w:hint="eastAsia" w:ascii="仿宋" w:hAnsi="仿宋" w:eastAsia="仿宋" w:cs="仿宋"/>
          <w:sz w:val="32"/>
          <w:szCs w:val="32"/>
          <w:lang w:val="en-US" w:eastAsia="zh-CN"/>
        </w:rPr>
        <w:t>20</w:t>
      </w:r>
      <w:r>
        <w:rPr>
          <w:rFonts w:hint="eastAsia" w:ascii="仿宋" w:hAnsi="仿宋" w:eastAsia="仿宋" w:cs="仿宋"/>
          <w:sz w:val="32"/>
          <w:szCs w:val="32"/>
        </w:rPr>
        <w:t>平方米，不宜大于50平方米;户属空中花园和阳台(含生活阳台)投影面积之和不得大于套内面积(不含公摊)的40%。</w:t>
      </w:r>
    </w:p>
    <w:p w14:paraId="07FB96C6">
      <w:pPr>
        <w:ind w:firstLine="640" w:firstLineChars="200"/>
        <w:rPr>
          <w:rFonts w:hint="eastAsia" w:ascii="仿宋" w:hAnsi="仿宋" w:eastAsia="仿宋" w:cs="仿宋"/>
          <w:sz w:val="32"/>
          <w:szCs w:val="32"/>
        </w:rPr>
      </w:pPr>
      <w:r>
        <w:rPr>
          <w:rFonts w:hint="eastAsia" w:ascii="仿宋" w:hAnsi="仿宋" w:eastAsia="仿宋" w:cs="仿宋"/>
          <w:sz w:val="32"/>
          <w:szCs w:val="32"/>
        </w:rPr>
        <w:t>2.户属空中花园层高(下层地坪标高至上层地坪标高)应为2个及以上住宅自然层。</w:t>
      </w:r>
    </w:p>
    <w:p w14:paraId="2B543C73">
      <w:pPr>
        <w:ind w:firstLine="640" w:firstLineChars="200"/>
        <w:rPr>
          <w:rFonts w:hint="eastAsia" w:ascii="仿宋" w:hAnsi="仿宋" w:eastAsia="仿宋" w:cs="仿宋"/>
          <w:sz w:val="32"/>
          <w:szCs w:val="32"/>
        </w:rPr>
      </w:pPr>
      <w:r>
        <w:rPr>
          <w:rFonts w:hint="eastAsia" w:ascii="仿宋" w:hAnsi="仿宋" w:eastAsia="仿宋" w:cs="仿宋"/>
          <w:sz w:val="32"/>
          <w:szCs w:val="32"/>
        </w:rPr>
        <w:t>3.户属空中花园进深不宜大于6米。</w:t>
      </w:r>
    </w:p>
    <w:p w14:paraId="42340C29">
      <w:pPr>
        <w:ind w:firstLine="640" w:firstLineChars="200"/>
        <w:rPr>
          <w:rFonts w:hint="eastAsia" w:ascii="仿宋" w:hAnsi="仿宋" w:eastAsia="仿宋" w:cs="仿宋"/>
          <w:sz w:val="32"/>
          <w:szCs w:val="32"/>
        </w:rPr>
      </w:pPr>
      <w:r>
        <w:rPr>
          <w:rFonts w:hint="eastAsia" w:ascii="仿宋" w:hAnsi="仿宋" w:eastAsia="仿宋" w:cs="仿宋"/>
          <w:sz w:val="32"/>
          <w:szCs w:val="32"/>
        </w:rPr>
        <w:t>4.户属空中花园四周应有不少于2个完整的开敞面，连续开敞面应不少于周长的40%。开敞面不得设置围护墙体，不得封窗，仅可设置栏杆(栏板)，便于直接采光通风。位于建筑凹槽内的，不视为开敞面。相邻套型、单元、楼栋通过绿化平台进行拼接的，拼接面不视为开敞面。</w:t>
      </w:r>
    </w:p>
    <w:p w14:paraId="04D4B5E0">
      <w:pPr>
        <w:ind w:firstLine="640" w:firstLineChars="200"/>
        <w:rPr>
          <w:rFonts w:hint="eastAsia" w:ascii="仿宋" w:hAnsi="仿宋" w:eastAsia="仿宋" w:cs="仿宋"/>
          <w:sz w:val="32"/>
          <w:szCs w:val="32"/>
        </w:rPr>
      </w:pPr>
      <w:r>
        <w:rPr>
          <w:rFonts w:hint="eastAsia" w:ascii="仿宋" w:hAnsi="仿宋" w:eastAsia="仿宋" w:cs="仿宋"/>
          <w:sz w:val="32"/>
          <w:szCs w:val="32"/>
        </w:rPr>
        <w:t>5.户属花园设计应充分考虑住户私密性及安全防盗要求，必要时应设置视线遮挡，满足安全要求的隔离设施。</w:t>
      </w:r>
    </w:p>
    <w:p w14:paraId="0E01AF1F">
      <w:pPr>
        <w:ind w:firstLine="643" w:firstLineChars="200"/>
        <w:rPr>
          <w:rFonts w:hint="eastAsia" w:ascii="仿宋" w:hAnsi="仿宋" w:eastAsia="仿宋" w:cs="仿宋"/>
          <w:sz w:val="32"/>
          <w:szCs w:val="32"/>
        </w:rPr>
      </w:pPr>
      <w:r>
        <w:rPr>
          <w:rFonts w:hint="eastAsia" w:ascii="楷体" w:hAnsi="楷体" w:eastAsia="楷体" w:cs="楷体"/>
          <w:b/>
          <w:bCs/>
          <w:sz w:val="32"/>
          <w:szCs w:val="32"/>
        </w:rPr>
        <w:t>(二)公共绿化平台。</w:t>
      </w:r>
      <w:r>
        <w:rPr>
          <w:rFonts w:hint="eastAsia" w:ascii="仿宋" w:hAnsi="仿宋" w:eastAsia="仿宋" w:cs="仿宋"/>
          <w:sz w:val="32"/>
          <w:szCs w:val="32"/>
        </w:rPr>
        <w:t>除满足与住宅公共空间连接外还应符合以下要求:</w:t>
      </w:r>
    </w:p>
    <w:p w14:paraId="2B827B24">
      <w:pPr>
        <w:ind w:firstLine="640" w:firstLineChars="200"/>
        <w:rPr>
          <w:rFonts w:hint="eastAsia" w:ascii="仿宋" w:hAnsi="仿宋" w:eastAsia="仿宋" w:cs="仿宋"/>
          <w:sz w:val="32"/>
          <w:szCs w:val="32"/>
        </w:rPr>
      </w:pPr>
      <w:r>
        <w:rPr>
          <w:rFonts w:hint="eastAsia" w:ascii="仿宋" w:hAnsi="仿宋" w:eastAsia="仿宋" w:cs="仿宋"/>
          <w:sz w:val="32"/>
          <w:szCs w:val="32"/>
        </w:rPr>
        <w:t>1.供全体业主共享。</w:t>
      </w:r>
    </w:p>
    <w:p w14:paraId="0975151D">
      <w:pPr>
        <w:ind w:firstLine="640" w:firstLineChars="200"/>
        <w:rPr>
          <w:rFonts w:hint="eastAsia" w:ascii="仿宋" w:hAnsi="仿宋" w:eastAsia="仿宋" w:cs="仿宋"/>
          <w:sz w:val="32"/>
          <w:szCs w:val="32"/>
        </w:rPr>
      </w:pPr>
      <w:r>
        <w:rPr>
          <w:rFonts w:hint="eastAsia" w:ascii="仿宋" w:hAnsi="仿宋" w:eastAsia="仿宋" w:cs="仿宋"/>
          <w:sz w:val="32"/>
          <w:szCs w:val="32"/>
        </w:rPr>
        <w:t>2.公共绿化平台层高(下层地坪标高至上层地坪标高)应为2个及以上住宅自然层。</w:t>
      </w:r>
    </w:p>
    <w:p w14:paraId="5DF4F8D0">
      <w:pPr>
        <w:ind w:firstLine="640" w:firstLineChars="200"/>
        <w:rPr>
          <w:rFonts w:hint="eastAsia" w:ascii="仿宋" w:hAnsi="仿宋" w:eastAsia="仿宋" w:cs="仿宋"/>
          <w:sz w:val="32"/>
          <w:szCs w:val="32"/>
        </w:rPr>
      </w:pPr>
      <w:r>
        <w:rPr>
          <w:rFonts w:hint="eastAsia" w:ascii="仿宋" w:hAnsi="仿宋" w:eastAsia="仿宋" w:cs="仿宋"/>
          <w:sz w:val="32"/>
          <w:szCs w:val="32"/>
        </w:rPr>
        <w:t>3.公共绿化平台不得与户属空中花园相邻设置.</w:t>
      </w:r>
    </w:p>
    <w:p w14:paraId="7729CD09">
      <w:pPr>
        <w:ind w:firstLine="640" w:firstLineChars="200"/>
        <w:rPr>
          <w:rFonts w:hint="eastAsia" w:ascii="仿宋" w:hAnsi="仿宋" w:eastAsia="仿宋" w:cs="仿宋"/>
          <w:sz w:val="32"/>
          <w:szCs w:val="32"/>
        </w:rPr>
      </w:pPr>
      <w:r>
        <w:rPr>
          <w:rFonts w:hint="eastAsia" w:ascii="仿宋" w:hAnsi="仿宋" w:eastAsia="仿宋" w:cs="仿宋"/>
          <w:sz w:val="32"/>
          <w:szCs w:val="32"/>
        </w:rPr>
        <w:t>4.公共绿化平台应具有多个不封闭的采光通风面。采光通风面的总长度不得低于公共绿化平台周长的三分之一，中间不得预留后期可改造增设楼板的围护结构或横竖向结构构件。</w:t>
      </w:r>
    </w:p>
    <w:p w14:paraId="11FE0B3D">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(三)绿化种植要求</w:t>
      </w:r>
    </w:p>
    <w:p w14:paraId="19FACC8C">
      <w:pPr>
        <w:ind w:firstLine="640" w:firstLineChars="200"/>
        <w:rPr>
          <w:rFonts w:hint="eastAsia" w:ascii="仿宋" w:hAnsi="仿宋" w:eastAsia="仿宋" w:cs="仿宋"/>
          <w:sz w:val="32"/>
          <w:szCs w:val="32"/>
        </w:rPr>
      </w:pPr>
      <w:r>
        <w:rPr>
          <w:rFonts w:hint="eastAsia" w:ascii="仿宋" w:hAnsi="仿宋" w:eastAsia="仿宋" w:cs="仿宋"/>
          <w:sz w:val="32"/>
          <w:szCs w:val="32"/>
        </w:rPr>
        <w:t>立体生态住宅种植绿化应因地制宜选用本土树种，应以灌木为主，适当种植小乔木。</w:t>
      </w:r>
    </w:p>
    <w:p w14:paraId="675E4F1D">
      <w:pPr>
        <w:ind w:firstLine="640" w:firstLineChars="200"/>
        <w:rPr>
          <w:rFonts w:hint="eastAsia" w:ascii="仿宋" w:hAnsi="仿宋" w:eastAsia="仿宋" w:cs="仿宋"/>
          <w:sz w:val="32"/>
          <w:szCs w:val="32"/>
        </w:rPr>
      </w:pPr>
      <w:r>
        <w:rPr>
          <w:rFonts w:hint="eastAsia" w:ascii="仿宋" w:hAnsi="仿宋" w:eastAsia="仿宋" w:cs="仿宋"/>
          <w:sz w:val="32"/>
          <w:szCs w:val="32"/>
        </w:rPr>
        <w:t>立体生态住宅的户属空中花园绿化面积不宜小于其水平投影面积的40%;公共绿化平台绿化面积不宜小于其水平投影面积的30%。</w:t>
      </w:r>
    </w:p>
    <w:p w14:paraId="13C4AD60">
      <w:pPr>
        <w:ind w:firstLine="640" w:firstLineChars="200"/>
        <w:rPr>
          <w:rFonts w:hint="eastAsia" w:ascii="仿宋" w:hAnsi="仿宋" w:eastAsia="仿宋" w:cs="仿宋"/>
          <w:sz w:val="32"/>
          <w:szCs w:val="32"/>
        </w:rPr>
      </w:pPr>
      <w:r>
        <w:rPr>
          <w:rFonts w:hint="eastAsia" w:ascii="仿宋" w:hAnsi="仿宋" w:eastAsia="仿宋" w:cs="仿宋"/>
          <w:sz w:val="32"/>
          <w:szCs w:val="32"/>
        </w:rPr>
        <w:t>立体生态住宅的户属空中花园和公共绿化平台宜通过结构降板设置下沉土池，种植覆土厚度平均不应小于0.5米，若种植小乔木，覆土厚度不应小于0.8米，并设有灌溉、排水系统。</w:t>
      </w:r>
    </w:p>
    <w:p w14:paraId="5D618BD6">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(四)计容和产权</w:t>
      </w:r>
    </w:p>
    <w:p w14:paraId="6629E0DA">
      <w:pPr>
        <w:ind w:firstLine="640" w:firstLineChars="200"/>
        <w:rPr>
          <w:rFonts w:hint="eastAsia" w:ascii="仿宋" w:hAnsi="仿宋" w:eastAsia="仿宋" w:cs="仿宋"/>
          <w:sz w:val="32"/>
          <w:szCs w:val="32"/>
        </w:rPr>
      </w:pPr>
      <w:r>
        <w:rPr>
          <w:rFonts w:hint="eastAsia" w:ascii="仿宋" w:hAnsi="仿宋" w:eastAsia="仿宋" w:cs="仿宋"/>
          <w:sz w:val="32"/>
          <w:szCs w:val="32"/>
        </w:rPr>
        <w:t>1.户属空中花园和公共绿化平台在满足技术审查要点第(一)、(二)、(三)款的前提下，不计容积率和产权面积。</w:t>
      </w:r>
    </w:p>
    <w:p w14:paraId="4532AC72">
      <w:pPr>
        <w:ind w:firstLine="640" w:firstLineChars="200"/>
        <w:rPr>
          <w:rFonts w:hint="eastAsia" w:ascii="仿宋" w:hAnsi="仿宋" w:eastAsia="仿宋" w:cs="仿宋"/>
          <w:sz w:val="32"/>
          <w:szCs w:val="32"/>
        </w:rPr>
      </w:pPr>
      <w:r>
        <w:rPr>
          <w:rFonts w:hint="eastAsia" w:ascii="仿宋" w:hAnsi="仿宋" w:eastAsia="仿宋" w:cs="仿宋"/>
          <w:sz w:val="32"/>
          <w:szCs w:val="32"/>
        </w:rPr>
        <w:t>2.户属空中花园和公共绿化平台在满足技术审查要点第(一)、(二)、(三)款的前提下，不计入人防配建面积基数、不计入机动车、非机动车配建面积基数、不计入配套设施配建面积基数。</w:t>
      </w:r>
    </w:p>
    <w:p w14:paraId="7E812232">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(五)建筑密度和绿地率</w:t>
      </w:r>
    </w:p>
    <w:p w14:paraId="30B9FD74">
      <w:pPr>
        <w:ind w:firstLine="640" w:firstLineChars="200"/>
        <w:rPr>
          <w:rFonts w:hint="eastAsia" w:ascii="仿宋" w:hAnsi="仿宋" w:eastAsia="仿宋" w:cs="仿宋"/>
          <w:sz w:val="32"/>
          <w:szCs w:val="32"/>
        </w:rPr>
      </w:pPr>
      <w:r>
        <w:rPr>
          <w:rFonts w:hint="eastAsia" w:ascii="仿宋" w:hAnsi="仿宋" w:eastAsia="仿宋" w:cs="仿宋"/>
          <w:sz w:val="32"/>
          <w:szCs w:val="32"/>
        </w:rPr>
        <w:t>1.立体生态住宅绿地率应满足</w:t>
      </w:r>
      <w:r>
        <w:rPr>
          <w:rFonts w:hint="eastAsia" w:ascii="仿宋" w:hAnsi="仿宋" w:eastAsia="仿宋" w:cs="仿宋"/>
          <w:sz w:val="32"/>
          <w:szCs w:val="32"/>
          <w:lang w:eastAsia="zh-CN"/>
        </w:rPr>
        <w:t>规划条件</w:t>
      </w:r>
      <w:r>
        <w:rPr>
          <w:rFonts w:hint="eastAsia" w:ascii="仿宋" w:hAnsi="仿宋" w:eastAsia="仿宋" w:cs="仿宋"/>
          <w:sz w:val="32"/>
          <w:szCs w:val="32"/>
        </w:rPr>
        <w:t>要求。</w:t>
      </w:r>
    </w:p>
    <w:p w14:paraId="15EC4B12">
      <w:pPr>
        <w:ind w:firstLine="640" w:firstLineChars="200"/>
        <w:rPr>
          <w:rFonts w:hint="eastAsia" w:ascii="仿宋" w:hAnsi="仿宋" w:eastAsia="仿宋" w:cs="仿宋"/>
          <w:sz w:val="32"/>
          <w:szCs w:val="32"/>
        </w:rPr>
      </w:pPr>
      <w:r>
        <w:rPr>
          <w:rFonts w:hint="eastAsia" w:ascii="仿宋" w:hAnsi="仿宋" w:eastAsia="仿宋" w:cs="仿宋"/>
          <w:sz w:val="32"/>
          <w:szCs w:val="32"/>
        </w:rPr>
        <w:t>2.立体生态住宅建筑密度按首层建筑基底面积标准计算，允许试点项目适当提高建筑密度，且符合规划条件。</w:t>
      </w:r>
    </w:p>
    <w:p w14:paraId="11A18145">
      <w:pPr>
        <w:ind w:firstLine="640" w:firstLineChars="200"/>
        <w:rPr>
          <w:rFonts w:hint="eastAsia" w:ascii="仿宋" w:hAnsi="仿宋" w:eastAsia="仿宋" w:cs="仿宋"/>
          <w:sz w:val="32"/>
          <w:szCs w:val="32"/>
        </w:rPr>
      </w:pPr>
      <w:r>
        <w:rPr>
          <w:rFonts w:hint="eastAsia" w:ascii="仿宋" w:hAnsi="仿宋" w:eastAsia="仿宋" w:cs="仿宋"/>
          <w:sz w:val="32"/>
          <w:szCs w:val="32"/>
        </w:rPr>
        <w:t>3.公共绿化平台的绿地部分计入绿地率统计，且不超过项目总用地面积的5%。</w:t>
      </w:r>
    </w:p>
    <w:p w14:paraId="1E2D219A">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(六)建筑间距控制</w:t>
      </w:r>
    </w:p>
    <w:p w14:paraId="5A99BE34">
      <w:pPr>
        <w:ind w:firstLine="640" w:firstLineChars="200"/>
        <w:rPr>
          <w:rFonts w:hint="eastAsia" w:ascii="仿宋" w:hAnsi="仿宋" w:eastAsia="仿宋" w:cs="仿宋"/>
          <w:sz w:val="32"/>
          <w:szCs w:val="32"/>
        </w:rPr>
      </w:pPr>
      <w:r>
        <w:rPr>
          <w:rFonts w:hint="eastAsia" w:ascii="仿宋" w:hAnsi="仿宋" w:eastAsia="仿宋" w:cs="仿宋"/>
          <w:sz w:val="32"/>
          <w:szCs w:val="32"/>
        </w:rPr>
        <w:t>1.地块内立体生态住宅之间的间距及建筑面宽按户属空中花园和公共绿化平台投影进深尺寸的二分之一范围线进行计算。</w:t>
      </w:r>
    </w:p>
    <w:p w14:paraId="70E1F231">
      <w:pPr>
        <w:ind w:firstLine="640" w:firstLineChars="200"/>
        <w:rPr>
          <w:rFonts w:hint="eastAsia" w:ascii="仿宋" w:hAnsi="仿宋" w:eastAsia="仿宋" w:cs="仿宋"/>
          <w:sz w:val="32"/>
          <w:szCs w:val="32"/>
        </w:rPr>
      </w:pPr>
      <w:r>
        <w:rPr>
          <w:rFonts w:hint="eastAsia" w:ascii="仿宋" w:hAnsi="仿宋" w:eastAsia="仿宋" w:cs="仿宋"/>
          <w:sz w:val="32"/>
          <w:szCs w:val="32"/>
        </w:rPr>
        <w:t>2.立体生态住宅与地块外建筑及与地块内非立体生态住宅建筑的间距，以及立体生态住宅退用地红线、道路红线、绿地等退距应按照户属空中花园和公共绿化平台的最外边缘计算。</w:t>
      </w:r>
    </w:p>
    <w:p w14:paraId="2D8A04BF">
      <w:pPr>
        <w:ind w:firstLine="640" w:firstLineChars="200"/>
        <w:rPr>
          <w:rFonts w:hint="eastAsia" w:ascii="仿宋" w:hAnsi="仿宋" w:eastAsia="仿宋" w:cs="仿宋"/>
          <w:sz w:val="32"/>
          <w:szCs w:val="32"/>
        </w:rPr>
      </w:pPr>
      <w:r>
        <w:rPr>
          <w:rFonts w:hint="eastAsia" w:ascii="仿宋" w:hAnsi="仿宋" w:eastAsia="仿宋" w:cs="仿宋"/>
          <w:sz w:val="32"/>
          <w:szCs w:val="32"/>
        </w:rPr>
        <w:t>3.消防和安全距离按相关规定执行。</w:t>
      </w:r>
    </w:p>
    <w:p w14:paraId="4E77A1A5">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(七)日照管理要求</w:t>
      </w:r>
    </w:p>
    <w:p w14:paraId="3130A02A">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建筑之间的日照间距应符合现行国家标准《城市居住区规划设计标准》GB 50180的有关规定</w:t>
      </w:r>
      <w:r>
        <w:rPr>
          <w:rFonts w:hint="eastAsia" w:ascii="仿宋" w:hAnsi="仿宋" w:eastAsia="仿宋" w:cs="仿宋"/>
          <w:sz w:val="32"/>
          <w:szCs w:val="32"/>
          <w:lang w:eastAsia="zh-CN"/>
        </w:rPr>
        <w:t>和亳州</w:t>
      </w:r>
      <w:r>
        <w:rPr>
          <w:rFonts w:hint="eastAsia" w:ascii="仿宋" w:hAnsi="仿宋" w:eastAsia="仿宋" w:cs="仿宋"/>
          <w:sz w:val="32"/>
          <w:szCs w:val="32"/>
        </w:rPr>
        <w:t>市现行的日照分析规则，</w:t>
      </w:r>
      <w:r>
        <w:rPr>
          <w:rFonts w:hint="eastAsia" w:ascii="仿宋" w:hAnsi="仿宋" w:eastAsia="仿宋" w:cs="仿宋"/>
          <w:sz w:val="32"/>
          <w:szCs w:val="32"/>
          <w:lang w:eastAsia="zh-CN"/>
        </w:rPr>
        <w:t>日照计算应符合一下规定：</w:t>
      </w:r>
    </w:p>
    <w:p w14:paraId="27CB9193">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default" w:ascii="仿宋" w:hAnsi="仿宋" w:eastAsia="仿宋" w:cs="仿宋"/>
          <w:sz w:val="32"/>
          <w:szCs w:val="32"/>
        </w:rPr>
        <w:t>当</w:t>
      </w:r>
      <w:r>
        <w:rPr>
          <w:rFonts w:hint="eastAsia" w:ascii="仿宋" w:hAnsi="仿宋" w:eastAsia="仿宋" w:cs="仿宋"/>
          <w:sz w:val="32"/>
          <w:szCs w:val="32"/>
        </w:rPr>
        <w:t>立体生态住宅</w:t>
      </w:r>
      <w:r>
        <w:rPr>
          <w:rFonts w:hint="default" w:ascii="仿宋" w:hAnsi="仿宋" w:eastAsia="仿宋" w:cs="仿宋"/>
          <w:sz w:val="32"/>
          <w:szCs w:val="32"/>
        </w:rPr>
        <w:t>建筑为遮挡物时，日照计算的遮挡面应为户属空中花园的最外边缘；</w:t>
      </w:r>
    </w:p>
    <w:p w14:paraId="5B86A2ED">
      <w:pPr>
        <w:ind w:firstLine="640" w:firstLineChars="200"/>
        <w:rPr>
          <w:rFonts w:hint="eastAsia" w:ascii="仿宋" w:hAnsi="仿宋" w:eastAsia="仿宋" w:cs="仿宋"/>
          <w:sz w:val="32"/>
          <w:szCs w:val="32"/>
        </w:rPr>
      </w:pPr>
      <w:r>
        <w:rPr>
          <w:rFonts w:hint="default" w:ascii="仿宋" w:hAnsi="仿宋" w:eastAsia="仿宋" w:cs="仿宋"/>
          <w:sz w:val="32"/>
          <w:szCs w:val="32"/>
        </w:rPr>
        <w:t>2</w:t>
      </w:r>
      <w:r>
        <w:rPr>
          <w:rFonts w:hint="eastAsia" w:ascii="仿宋" w:hAnsi="仿宋" w:eastAsia="仿宋" w:cs="仿宋"/>
          <w:sz w:val="32"/>
          <w:szCs w:val="32"/>
          <w:lang w:eastAsia="zh-CN"/>
        </w:rPr>
        <w:t>.</w:t>
      </w:r>
      <w:r>
        <w:rPr>
          <w:rFonts w:hint="default" w:ascii="仿宋" w:hAnsi="仿宋" w:eastAsia="仿宋" w:cs="仿宋"/>
          <w:sz w:val="32"/>
          <w:szCs w:val="32"/>
        </w:rPr>
        <w:t>当</w:t>
      </w:r>
      <w:r>
        <w:rPr>
          <w:rFonts w:hint="eastAsia" w:ascii="仿宋" w:hAnsi="仿宋" w:eastAsia="仿宋" w:cs="仿宋"/>
          <w:sz w:val="32"/>
          <w:szCs w:val="32"/>
        </w:rPr>
        <w:t>立体生态住宅</w:t>
      </w:r>
      <w:r>
        <w:rPr>
          <w:rFonts w:hint="default" w:ascii="仿宋" w:hAnsi="仿宋" w:eastAsia="仿宋" w:cs="仿宋"/>
          <w:sz w:val="32"/>
          <w:szCs w:val="32"/>
        </w:rPr>
        <w:t>建筑为被遮挡建筑时，日照计算的被遮挡面应为建筑主体外边缘。</w:t>
      </w:r>
    </w:p>
    <w:p w14:paraId="421BA28F">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(八)其他要求</w:t>
      </w:r>
    </w:p>
    <w:p w14:paraId="6CC68F45">
      <w:pPr>
        <w:ind w:firstLine="640" w:firstLineChars="200"/>
        <w:rPr>
          <w:rFonts w:hint="eastAsia" w:ascii="仿宋" w:hAnsi="仿宋" w:eastAsia="仿宋" w:cs="仿宋"/>
          <w:sz w:val="32"/>
          <w:szCs w:val="32"/>
        </w:rPr>
      </w:pPr>
      <w:r>
        <w:rPr>
          <w:rFonts w:hint="eastAsia" w:ascii="仿宋" w:hAnsi="仿宋" w:eastAsia="仿宋" w:cs="仿宋"/>
          <w:sz w:val="32"/>
          <w:szCs w:val="32"/>
        </w:rPr>
        <w:t>1.立体生态住宅在申报建筑设计方案的同时，应同步提交户属空中花园及公共绿化平台的景观绿化专项设计方案至市</w:t>
      </w:r>
      <w:r>
        <w:rPr>
          <w:rFonts w:hint="eastAsia" w:ascii="仿宋" w:hAnsi="仿宋" w:eastAsia="仿宋" w:cs="仿宋"/>
          <w:sz w:val="32"/>
          <w:szCs w:val="32"/>
          <w:lang w:eastAsia="zh-CN"/>
        </w:rPr>
        <w:t>园林建设管理服务中心</w:t>
      </w:r>
      <w:r>
        <w:rPr>
          <w:rFonts w:hint="eastAsia" w:ascii="仿宋" w:hAnsi="仿宋" w:eastAsia="仿宋" w:cs="仿宋"/>
          <w:sz w:val="32"/>
          <w:szCs w:val="32"/>
        </w:rPr>
        <w:t>审查，方案应充分考虑绿化种植方式、防火、防坠落、防台风和各类极端天气等防护措施，鼓励防护措施采用新材料新技术。</w:t>
      </w:r>
    </w:p>
    <w:p w14:paraId="3E21AD6F">
      <w:pPr>
        <w:ind w:firstLine="640" w:firstLineChars="200"/>
        <w:rPr>
          <w:rFonts w:hint="eastAsia" w:ascii="仿宋" w:hAnsi="仿宋" w:eastAsia="仿宋" w:cs="仿宋"/>
          <w:sz w:val="32"/>
          <w:szCs w:val="32"/>
        </w:rPr>
      </w:pPr>
      <w:r>
        <w:rPr>
          <w:rFonts w:hint="eastAsia" w:ascii="仿宋" w:hAnsi="仿宋" w:eastAsia="仿宋" w:cs="仿宋"/>
          <w:sz w:val="32"/>
          <w:szCs w:val="32"/>
        </w:rPr>
        <w:t>2.户属空中花园及公共绿化平台的景观绿化应与建筑主体同步设计、同步施工、同步验收。</w:t>
      </w:r>
    </w:p>
    <w:p w14:paraId="73A37ED2">
      <w:pPr>
        <w:ind w:firstLine="640" w:firstLineChars="200"/>
        <w:rPr>
          <w:rFonts w:hint="eastAsia" w:ascii="黑体" w:hAnsi="黑体" w:eastAsia="黑体" w:cs="黑体"/>
          <w:sz w:val="32"/>
          <w:szCs w:val="32"/>
        </w:rPr>
      </w:pPr>
      <w:r>
        <w:rPr>
          <w:rFonts w:hint="eastAsia" w:ascii="黑体" w:hAnsi="黑体" w:eastAsia="黑体" w:cs="黑体"/>
          <w:sz w:val="32"/>
          <w:szCs w:val="32"/>
        </w:rPr>
        <w:t>四、实施监管</w:t>
      </w:r>
    </w:p>
    <w:p w14:paraId="3780B295">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(一)明确责任分工</w:t>
      </w:r>
    </w:p>
    <w:p w14:paraId="6714FDFE">
      <w:pPr>
        <w:ind w:firstLine="640" w:firstLineChars="200"/>
        <w:rPr>
          <w:rFonts w:hint="eastAsia" w:ascii="仿宋" w:hAnsi="仿宋" w:eastAsia="仿宋" w:cs="仿宋"/>
          <w:sz w:val="32"/>
          <w:szCs w:val="32"/>
        </w:rPr>
      </w:pPr>
      <w:r>
        <w:rPr>
          <w:rFonts w:hint="eastAsia" w:ascii="仿宋" w:hAnsi="仿宋" w:eastAsia="仿宋" w:cs="仿宋"/>
          <w:sz w:val="32"/>
          <w:szCs w:val="32"/>
        </w:rPr>
        <w:t>为更好管控立体生态住宅规划建设，进一步明晰各部门工作职责如下:</w:t>
      </w:r>
    </w:p>
    <w:p w14:paraId="247F1F7E">
      <w:pPr>
        <w:ind w:firstLine="640" w:firstLineChars="200"/>
        <w:rPr>
          <w:rFonts w:hint="eastAsia" w:ascii="仿宋" w:hAnsi="仿宋" w:eastAsia="仿宋" w:cs="仿宋"/>
          <w:sz w:val="32"/>
          <w:szCs w:val="32"/>
        </w:rPr>
      </w:pPr>
      <w:r>
        <w:rPr>
          <w:rFonts w:hint="eastAsia" w:ascii="仿宋" w:hAnsi="仿宋" w:eastAsia="仿宋" w:cs="仿宋"/>
          <w:sz w:val="32"/>
          <w:szCs w:val="32"/>
        </w:rPr>
        <w:t>1.市自然资源和规划局:负责出具立体生态住宅项目试点地块</w:t>
      </w:r>
      <w:r>
        <w:rPr>
          <w:rFonts w:hint="eastAsia" w:ascii="仿宋" w:hAnsi="仿宋" w:eastAsia="仿宋" w:cs="仿宋"/>
          <w:sz w:val="32"/>
          <w:szCs w:val="32"/>
          <w:lang w:eastAsia="zh-CN"/>
        </w:rPr>
        <w:t>规划条件</w:t>
      </w:r>
      <w:r>
        <w:rPr>
          <w:rFonts w:hint="eastAsia" w:ascii="仿宋" w:hAnsi="仿宋" w:eastAsia="仿宋" w:cs="仿宋"/>
          <w:sz w:val="32"/>
          <w:szCs w:val="32"/>
        </w:rPr>
        <w:t>，审定立体生态住宅建设工程设计方案，以及立体生态住宅建设实施中的建筑验线、规划核实、不动产产权登记等工作。</w:t>
      </w:r>
    </w:p>
    <w:p w14:paraId="41274410">
      <w:pPr>
        <w:ind w:firstLine="640" w:firstLineChars="200"/>
        <w:rPr>
          <w:rFonts w:hint="eastAsia" w:ascii="仿宋" w:hAnsi="仿宋" w:eastAsia="仿宋" w:cs="仿宋"/>
          <w:sz w:val="32"/>
          <w:szCs w:val="32"/>
        </w:rPr>
      </w:pPr>
      <w:r>
        <w:rPr>
          <w:rFonts w:hint="eastAsia" w:ascii="仿宋" w:hAnsi="仿宋" w:eastAsia="仿宋" w:cs="仿宋"/>
          <w:sz w:val="32"/>
          <w:szCs w:val="32"/>
        </w:rPr>
        <w:t>2.市城乡建设局:负责立体生态住宅施工图审查及工程建设竣工验收监督管理。</w:t>
      </w:r>
    </w:p>
    <w:p w14:paraId="335460F6">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3.市住房</w:t>
      </w:r>
      <w:r>
        <w:rPr>
          <w:rFonts w:hint="eastAsia" w:ascii="仿宋" w:hAnsi="仿宋" w:eastAsia="仿宋" w:cs="仿宋"/>
          <w:sz w:val="32"/>
          <w:szCs w:val="32"/>
          <w:lang w:eastAsia="zh-CN"/>
        </w:rPr>
        <w:t>发展中心</w:t>
      </w:r>
      <w:r>
        <w:rPr>
          <w:rFonts w:hint="eastAsia" w:ascii="仿宋" w:hAnsi="仿宋" w:eastAsia="仿宋" w:cs="仿宋"/>
          <w:sz w:val="32"/>
          <w:szCs w:val="32"/>
        </w:rPr>
        <w:t>:负责督促物业服务企业加强对公共绿化平台的管护</w:t>
      </w:r>
      <w:r>
        <w:rPr>
          <w:rFonts w:hint="eastAsia" w:ascii="仿宋" w:hAnsi="仿宋" w:eastAsia="仿宋" w:cs="仿宋"/>
          <w:sz w:val="32"/>
          <w:szCs w:val="32"/>
          <w:lang w:eastAsia="zh-CN"/>
        </w:rPr>
        <w:t>。</w:t>
      </w:r>
    </w:p>
    <w:p w14:paraId="169340FF">
      <w:pPr>
        <w:ind w:firstLine="640" w:firstLineChars="200"/>
        <w:rPr>
          <w:rFonts w:hint="eastAsia" w:ascii="仿宋" w:hAnsi="仿宋" w:eastAsia="仿宋" w:cs="仿宋"/>
          <w:sz w:val="32"/>
          <w:szCs w:val="32"/>
        </w:rPr>
      </w:pPr>
      <w:r>
        <w:rPr>
          <w:rFonts w:hint="eastAsia" w:ascii="仿宋" w:hAnsi="仿宋" w:eastAsia="仿宋" w:cs="仿宋"/>
          <w:sz w:val="32"/>
          <w:szCs w:val="32"/>
        </w:rPr>
        <w:t>4.市城市管理局:负责审定立体生态住宅户属空中花园及公共绿化平台的景观绿化专项设计方案，推荐适合在户属空中花园和公共绿化平台种植的本土绿化苗木品种目录和养护标准，指导后期绿化实施，并负责把关景观绿化核实验收。</w:t>
      </w:r>
    </w:p>
    <w:p w14:paraId="249C2686">
      <w:pPr>
        <w:ind w:firstLine="640" w:firstLineChars="200"/>
        <w:rPr>
          <w:rFonts w:hint="eastAsia" w:ascii="仿宋" w:hAnsi="仿宋" w:eastAsia="仿宋" w:cs="仿宋"/>
          <w:sz w:val="32"/>
          <w:szCs w:val="32"/>
        </w:rPr>
      </w:pPr>
      <w:r>
        <w:rPr>
          <w:rFonts w:hint="eastAsia" w:ascii="仿宋" w:hAnsi="仿宋" w:eastAsia="仿宋" w:cs="仿宋"/>
          <w:sz w:val="32"/>
          <w:szCs w:val="32"/>
        </w:rPr>
        <w:t>5.亳芜园区、高新区、谯城区载体单位负责对违法建设的建筑物、构筑物依法进行查处。</w:t>
      </w:r>
    </w:p>
    <w:p w14:paraId="2239A38D">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(二)规范销售及使用</w:t>
      </w:r>
    </w:p>
    <w:p w14:paraId="14F7EB6F">
      <w:pPr>
        <w:ind w:firstLine="640" w:firstLineChars="200"/>
        <w:rPr>
          <w:rFonts w:hint="eastAsia" w:ascii="仿宋" w:hAnsi="仿宋" w:eastAsia="仿宋" w:cs="仿宋"/>
          <w:sz w:val="32"/>
          <w:szCs w:val="32"/>
        </w:rPr>
      </w:pPr>
      <w:r>
        <w:rPr>
          <w:rFonts w:hint="eastAsia" w:ascii="仿宋" w:hAnsi="仿宋" w:eastAsia="仿宋" w:cs="仿宋"/>
          <w:sz w:val="32"/>
          <w:szCs w:val="32"/>
        </w:rPr>
        <w:t>建设单位应依法依规建设、销售，并及时、准确地向购房者及物业管理单位说明关于户属空中花园、公共绿化平台用途，严禁误导性宣传。房屋销售合同应当明确户属空中花园的用途、购房业主和物业服务企业的管理维护义务，并取得购房业主不私自改变用途的承诺书。建设单位及业主应按照规划要求使用、管理，不得违法违规封闭、擅自破坏占用户属空中花园、公共绿化平台。</w:t>
      </w:r>
    </w:p>
    <w:p w14:paraId="0B1A9F34">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(三)严把竣工验收关口</w:t>
      </w:r>
    </w:p>
    <w:p w14:paraId="1A580922">
      <w:pPr>
        <w:ind w:firstLine="640" w:firstLineChars="200"/>
        <w:rPr>
          <w:rFonts w:hint="eastAsia" w:ascii="仿宋" w:hAnsi="仿宋" w:eastAsia="仿宋" w:cs="仿宋"/>
          <w:sz w:val="32"/>
          <w:szCs w:val="32"/>
        </w:rPr>
      </w:pPr>
      <w:r>
        <w:rPr>
          <w:rFonts w:hint="eastAsia" w:ascii="仿宋" w:hAnsi="仿宋" w:eastAsia="仿宋" w:cs="仿宋"/>
          <w:sz w:val="32"/>
          <w:szCs w:val="32"/>
        </w:rPr>
        <w:t>市自然资源和规划局、市城乡建设局、市城市管理局</w:t>
      </w:r>
      <w:r>
        <w:rPr>
          <w:rFonts w:hint="eastAsia" w:ascii="仿宋" w:hAnsi="仿宋" w:eastAsia="仿宋" w:cs="仿宋"/>
          <w:sz w:val="32"/>
          <w:szCs w:val="32"/>
          <w:lang w:eastAsia="zh-CN"/>
        </w:rPr>
        <w:t>、</w:t>
      </w:r>
      <w:r>
        <w:rPr>
          <w:rFonts w:hint="eastAsia" w:ascii="仿宋" w:hAnsi="仿宋" w:eastAsia="仿宋" w:cs="仿宋"/>
          <w:sz w:val="32"/>
          <w:szCs w:val="32"/>
        </w:rPr>
        <w:t>市住房</w:t>
      </w:r>
      <w:r>
        <w:rPr>
          <w:rFonts w:hint="eastAsia" w:ascii="仿宋" w:hAnsi="仿宋" w:eastAsia="仿宋" w:cs="仿宋"/>
          <w:sz w:val="32"/>
          <w:szCs w:val="32"/>
          <w:lang w:eastAsia="zh-CN"/>
        </w:rPr>
        <w:t>发展中心</w:t>
      </w:r>
      <w:r>
        <w:rPr>
          <w:rFonts w:hint="eastAsia" w:ascii="仿宋" w:hAnsi="仿宋" w:eastAsia="仿宋" w:cs="仿宋"/>
          <w:sz w:val="32"/>
          <w:szCs w:val="32"/>
        </w:rPr>
        <w:t>、等部门要将户属空中花园、公共绿化平台等特有部分及绿化实施情况应纳入建筑主体工程同步规划、同步实施、同步验收。验收不合格或擅自改变功能的，不再享有试点支持政策，由此造成的超容积率、建筑间距不足等问题按违法建设处理。</w:t>
      </w:r>
    </w:p>
    <w:p w14:paraId="74BD7D93">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(四)做好验收后监督管理</w:t>
      </w:r>
    </w:p>
    <w:p w14:paraId="375A1654">
      <w:pPr>
        <w:ind w:firstLine="640" w:firstLineChars="200"/>
        <w:rPr>
          <w:rFonts w:hint="eastAsia" w:ascii="仿宋" w:hAnsi="仿宋" w:eastAsia="仿宋" w:cs="仿宋"/>
          <w:sz w:val="32"/>
          <w:szCs w:val="32"/>
        </w:rPr>
      </w:pPr>
      <w:r>
        <w:rPr>
          <w:rFonts w:hint="eastAsia" w:ascii="仿宋" w:hAnsi="仿宋" w:eastAsia="仿宋" w:cs="仿宋"/>
          <w:sz w:val="32"/>
          <w:szCs w:val="32"/>
        </w:rPr>
        <w:t>属地政府及相关部门应做好建设项目竣工验收后的监管，严格查处户属空中花园、公共绿化平台违法违规使用问题，严禁业主私自改变用途、违法违规封闭、擅自破坏占用，一经发现，应当及时责令整改并移交处理。</w:t>
      </w:r>
    </w:p>
    <w:p w14:paraId="6AE0893A">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(五)加强物业服务管理</w:t>
      </w:r>
    </w:p>
    <w:p w14:paraId="6AB42C92">
      <w:pPr>
        <w:ind w:firstLine="640" w:firstLineChars="200"/>
        <w:rPr>
          <w:rFonts w:hint="eastAsia" w:ascii="仿宋" w:hAnsi="仿宋" w:eastAsia="仿宋" w:cs="仿宋"/>
          <w:sz w:val="32"/>
          <w:szCs w:val="32"/>
        </w:rPr>
      </w:pPr>
      <w:r>
        <w:rPr>
          <w:rFonts w:hint="eastAsia" w:ascii="仿宋" w:hAnsi="仿宋" w:eastAsia="仿宋" w:cs="仿宋"/>
          <w:sz w:val="32"/>
          <w:szCs w:val="32"/>
        </w:rPr>
        <w:t>属地政府(街道办事处)应督促物业服务企业，加强公共绿化平台的管理与服务，确保建筑外立面整体效果和居住区品质。</w:t>
      </w:r>
    </w:p>
    <w:p w14:paraId="4EEB420D">
      <w:pPr>
        <w:ind w:firstLine="640" w:firstLineChars="200"/>
        <w:rPr>
          <w:rFonts w:hint="eastAsia" w:ascii="黑体" w:hAnsi="黑体" w:eastAsia="黑体" w:cs="黑体"/>
          <w:sz w:val="32"/>
          <w:szCs w:val="32"/>
        </w:rPr>
      </w:pPr>
      <w:r>
        <w:rPr>
          <w:rFonts w:hint="eastAsia" w:ascii="黑体" w:hAnsi="黑体" w:eastAsia="黑体" w:cs="黑体"/>
          <w:sz w:val="32"/>
          <w:szCs w:val="32"/>
        </w:rPr>
        <w:t>五、其他事项</w:t>
      </w:r>
    </w:p>
    <w:p w14:paraId="7E1EB3BA">
      <w:pPr>
        <w:ind w:firstLine="640" w:firstLineChars="200"/>
        <w:rPr>
          <w:rFonts w:hint="eastAsia" w:ascii="仿宋" w:hAnsi="仿宋" w:eastAsia="仿宋" w:cs="仿宋"/>
          <w:sz w:val="32"/>
          <w:szCs w:val="32"/>
        </w:rPr>
      </w:pPr>
      <w:r>
        <w:rPr>
          <w:rFonts w:hint="eastAsia" w:ascii="仿宋" w:hAnsi="仿宋" w:eastAsia="仿宋" w:cs="仿宋"/>
          <w:sz w:val="32"/>
          <w:szCs w:val="32"/>
        </w:rPr>
        <w:t>1.试点区域为在市区范围内重点选取一些区位条件好、资源环境优越的近期拟上市地块开展试点。</w:t>
      </w:r>
    </w:p>
    <w:p w14:paraId="2FEA6219">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2.该文件印发</w:t>
      </w:r>
      <w:r>
        <w:rPr>
          <w:rFonts w:hint="eastAsia" w:ascii="仿宋" w:hAnsi="仿宋" w:eastAsia="仿宋" w:cs="仿宋"/>
          <w:sz w:val="32"/>
          <w:szCs w:val="32"/>
        </w:rPr>
        <w:t>之前已取得建设用地使用权、规划方案尚未审批的存量开发项目，如需申请开展试点，原则上由建设单位按程序向自然资源和规划</w:t>
      </w:r>
      <w:r>
        <w:rPr>
          <w:rFonts w:hint="eastAsia" w:ascii="仿宋" w:hAnsi="仿宋" w:eastAsia="仿宋" w:cs="仿宋"/>
          <w:sz w:val="32"/>
          <w:szCs w:val="32"/>
          <w:lang w:eastAsia="zh-CN"/>
        </w:rPr>
        <w:t>局</w:t>
      </w:r>
      <w:r>
        <w:rPr>
          <w:rFonts w:hint="eastAsia" w:ascii="仿宋" w:hAnsi="仿宋" w:eastAsia="仿宋" w:cs="仿宋"/>
          <w:sz w:val="32"/>
          <w:szCs w:val="32"/>
        </w:rPr>
        <w:t>提出申请，依程序报市规委会审查同意后方可开展试点</w:t>
      </w:r>
      <w:bookmarkStart w:id="0" w:name="_GoBack"/>
      <w:bookmarkEnd w:id="0"/>
      <w:r>
        <w:rPr>
          <w:rFonts w:hint="eastAsia" w:ascii="仿宋" w:hAnsi="仿宋" w:eastAsia="仿宋" w:cs="仿宋"/>
          <w:sz w:val="32"/>
          <w:szCs w:val="32"/>
        </w:rPr>
        <w:t>。</w:t>
      </w:r>
    </w:p>
    <w:p w14:paraId="039E3F3B">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.本通知自 2024年</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月</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日市规委会第</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次专题会后试行，</w:t>
      </w:r>
      <w:r>
        <w:rPr>
          <w:rFonts w:hint="eastAsia" w:ascii="仿宋" w:hAnsi="仿宋" w:eastAsia="仿宋" w:cs="仿宋"/>
          <w:sz w:val="32"/>
          <w:szCs w:val="32"/>
          <w:lang w:val="en-US" w:eastAsia="zh-CN"/>
        </w:rPr>
        <w:t>以市自然资源和规划管理委员会名义印发试行，有效期2年</w:t>
      </w:r>
      <w:r>
        <w:rPr>
          <w:rFonts w:hint="eastAsia" w:ascii="仿宋" w:hAnsi="仿宋" w:eastAsia="仿宋" w:cs="仿宋"/>
          <w:sz w:val="32"/>
          <w:szCs w:val="32"/>
        </w:rPr>
        <w:t>。试行期满后进行全面评估，视评估情况修改完善后再行推广。</w:t>
      </w:r>
    </w:p>
    <w:p w14:paraId="001CB9F0">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4</w:t>
      </w:r>
      <w:r>
        <w:rPr>
          <w:rFonts w:hint="eastAsia" w:ascii="仿宋" w:hAnsi="仿宋" w:eastAsia="仿宋" w:cs="仿宋"/>
          <w:sz w:val="32"/>
          <w:szCs w:val="32"/>
        </w:rPr>
        <w:t>.其他未尽事宜，按照国家、省和市相关规定及技术规范执行</w:t>
      </w:r>
      <w:r>
        <w:rPr>
          <w:rFonts w:hint="eastAsia" w:ascii="仿宋" w:hAnsi="仿宋" w:eastAsia="仿宋" w:cs="仿宋"/>
          <w:sz w:val="32"/>
          <w:szCs w:val="32"/>
          <w:lang w:eastAsia="zh-CN"/>
        </w:rPr>
        <w:t>。</w:t>
      </w:r>
    </w:p>
    <w:p w14:paraId="2086E960">
      <w:pPr>
        <w:ind w:firstLine="640" w:firstLineChars="200"/>
        <w:rPr>
          <w:rFonts w:hint="eastAsia" w:ascii="黑体" w:hAnsi="黑体" w:eastAsia="黑体" w:cs="黑体"/>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345B9">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B81A7">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8BB81A7">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M1NTM1MTdkYjEyOTA3Y2Y2ZjcwMTc1ZGJhZTdhZGMifQ=="/>
  </w:docVars>
  <w:rsids>
    <w:rsidRoot w:val="00000000"/>
    <w:rsid w:val="01A04554"/>
    <w:rsid w:val="11924A28"/>
    <w:rsid w:val="128B65CD"/>
    <w:rsid w:val="174D36C8"/>
    <w:rsid w:val="1B7B0307"/>
    <w:rsid w:val="1F026649"/>
    <w:rsid w:val="2AB32EED"/>
    <w:rsid w:val="2AFB50E4"/>
    <w:rsid w:val="391B05DB"/>
    <w:rsid w:val="3BE84449"/>
    <w:rsid w:val="4B895DDC"/>
    <w:rsid w:val="54212AF2"/>
    <w:rsid w:val="5BC36BE2"/>
    <w:rsid w:val="62436329"/>
    <w:rsid w:val="69DC08F1"/>
    <w:rsid w:val="6BC229B5"/>
    <w:rsid w:val="72CE7118"/>
    <w:rsid w:val="759E3B4B"/>
    <w:rsid w:val="765854EF"/>
    <w:rsid w:val="77AC6C74"/>
    <w:rsid w:val="78FA5088"/>
    <w:rsid w:val="7A891361"/>
    <w:rsid w:val="7D1610B9"/>
    <w:rsid w:val="7EA843FB"/>
    <w:rsid w:val="7FF461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3197</Words>
  <Characters>3253</Characters>
  <Lines>0</Lines>
  <Paragraphs>0</Paragraphs>
  <TotalTime>2</TotalTime>
  <ScaleCrop>false</ScaleCrop>
  <LinksUpToDate>false</LinksUpToDate>
  <CharactersWithSpaces>3258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卜鹏程</cp:lastModifiedBy>
  <cp:lastPrinted>2024-07-05T01:49:00Z</cp:lastPrinted>
  <dcterms:modified xsi:type="dcterms:W3CDTF">2024-12-16T07:11:42Z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60833D97FC024C1A859EED2225194BD8_13</vt:lpwstr>
  </property>
</Properties>
</file>