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5C0A2">
      <w:pPr>
        <w:widowControl/>
        <w:spacing w:beforeAutospacing="1" w:afterAutospacing="1" w:line="560" w:lineRule="exact"/>
        <w:ind w:firstLine="640"/>
        <w:jc w:val="center"/>
        <w:rPr>
          <w:rFonts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sz w:val="48"/>
          <w:szCs w:val="48"/>
          <w:shd w:val="clear" w:color="auto" w:fill="FFFFFF"/>
          <w14:textFill>
            <w14:solidFill>
              <w14:schemeClr w14:val="tx1"/>
            </w14:solidFill>
          </w14:textFill>
        </w:rPr>
        <w:t>亳州市自然资源和规划局2023年政府信息公开工作年度报告</w:t>
      </w:r>
    </w:p>
    <w:p w14:paraId="70C8641F">
      <w:pPr>
        <w:widowControl/>
        <w:spacing w:beforeAutospacing="1" w:afterAutospacing="1" w:line="560" w:lineRule="exact"/>
        <w:ind w:firstLine="640"/>
        <w:jc w:val="left"/>
      </w:pPr>
      <w:r>
        <w:rPr>
          <w:rFonts w:ascii="仿宋" w:hAnsi="仿宋" w:eastAsia="仿宋" w:cs="仿宋"/>
          <w:sz w:val="32"/>
          <w:szCs w:val="32"/>
          <w:lang w:bidi="ar"/>
        </w:rPr>
        <w:t>2023年，我局严格落实《中华人民共和国政府信息公开条例》（国务院令第711</w:t>
      </w:r>
      <w:r>
        <w:rPr>
          <w:rFonts w:hint="eastAsia" w:ascii="仿宋" w:hAnsi="仿宋" w:eastAsia="仿宋" w:cs="仿宋"/>
          <w:sz w:val="32"/>
          <w:szCs w:val="32"/>
          <w:lang w:bidi="ar"/>
        </w:rPr>
        <w:t>号）</w:t>
      </w:r>
      <w:r>
        <w:rPr>
          <w:rFonts w:ascii="仿宋" w:hAnsi="仿宋" w:eastAsia="仿宋" w:cs="仿宋"/>
          <w:sz w:val="32"/>
          <w:szCs w:val="32"/>
          <w:lang w:bidi="ar"/>
        </w:rPr>
        <w:t>和《国务院办公厅政府信息与政务公开办公室关于印发〈中华人民共和国政府信息公开工作年度报告格式〉的通知》（国办公开办函〔2021</w:t>
      </w:r>
      <w:r>
        <w:rPr>
          <w:rFonts w:hint="eastAsia" w:ascii="仿宋" w:hAnsi="仿宋" w:eastAsia="仿宋" w:cs="仿宋"/>
          <w:sz w:val="32"/>
          <w:szCs w:val="32"/>
          <w:lang w:bidi="ar"/>
        </w:rPr>
        <w:t>〕</w:t>
      </w:r>
      <w:r>
        <w:rPr>
          <w:rFonts w:ascii="仿宋" w:hAnsi="仿宋" w:eastAsia="仿宋" w:cs="仿宋"/>
          <w:sz w:val="32"/>
          <w:szCs w:val="32"/>
          <w:lang w:bidi="ar"/>
        </w:rPr>
        <w:t>30</w:t>
      </w:r>
      <w:r>
        <w:rPr>
          <w:rFonts w:hint="eastAsia" w:ascii="仿宋" w:hAnsi="仿宋" w:eastAsia="仿宋" w:cs="仿宋"/>
          <w:sz w:val="32"/>
          <w:szCs w:val="32"/>
          <w:lang w:bidi="ar"/>
        </w:rPr>
        <w:t>号）</w:t>
      </w:r>
      <w:r>
        <w:rPr>
          <w:rFonts w:ascii="仿宋" w:hAnsi="仿宋" w:eastAsia="仿宋" w:cs="仿宋"/>
          <w:sz w:val="32"/>
          <w:szCs w:val="32"/>
          <w:lang w:bidi="ar"/>
        </w:rPr>
        <w:t>要求，坚持以公开为常态、不公开为例外原则，切实做到“应公开、尽公开”，有效保障了公众的知情权、参与权、监督权。现将《亳州市自然资源和规划局2023年政府信息公开工作年度报告》发布如下：</w:t>
      </w:r>
    </w:p>
    <w:p w14:paraId="432F6A70">
      <w:pPr>
        <w:pStyle w:val="2"/>
        <w:widowControl/>
        <w:spacing w:line="560" w:lineRule="exact"/>
        <w:ind w:firstLine="640"/>
        <w:rPr>
          <w:rFonts w:hint="default"/>
        </w:rPr>
      </w:pPr>
      <w:r>
        <w:rPr>
          <w:rFonts w:ascii="方正黑体_GBK" w:hAnsi="方正黑体_GBK" w:eastAsia="方正黑体_GBK" w:cs="方正黑体_GBK"/>
          <w:sz w:val="32"/>
          <w:szCs w:val="32"/>
        </w:rPr>
        <w:t>一、总体情况</w:t>
      </w:r>
    </w:p>
    <w:p w14:paraId="7159F8CF">
      <w:pPr>
        <w:pStyle w:val="3"/>
        <w:widowControl/>
        <w:spacing w:line="560" w:lineRule="exact"/>
        <w:ind w:firstLine="640"/>
        <w:rPr>
          <w:rFonts w:hint="default"/>
        </w:rPr>
      </w:pPr>
      <w:r>
        <w:rPr>
          <w:rFonts w:ascii="方正楷体_GBK" w:hAnsi="方正楷体_GBK" w:eastAsia="方正楷体_GBK" w:cs="方正楷体_GBK"/>
          <w:kern w:val="2"/>
          <w:sz w:val="32"/>
          <w:szCs w:val="32"/>
        </w:rPr>
        <w:t>（一）主动公开情况</w:t>
      </w:r>
    </w:p>
    <w:p w14:paraId="0B1B0CE1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贯彻落实《亳州市自然资源和规划局（林业局）2023年宣传工作要点》，根据省、市有关要求，及时更新调整栏目设置。并将年度政务公开重点工作分解到具体科室、单位，加强对各科室、单位重点信息的审核推送，保障政务公开的时效性和质量。2023年门户网站发布信息2029条，政府信息公开1535条。</w:t>
      </w:r>
    </w:p>
    <w:p w14:paraId="75714339">
      <w:pPr>
        <w:pStyle w:val="3"/>
        <w:widowControl/>
        <w:spacing w:line="560" w:lineRule="exact"/>
        <w:ind w:firstLine="640"/>
        <w:rPr>
          <w:rFonts w:hint="default"/>
        </w:rPr>
      </w:pPr>
      <w:r>
        <w:rPr>
          <w:rFonts w:hint="default" w:ascii="方正楷体_GBK" w:hAnsi="方正楷体_GBK" w:eastAsia="方正楷体_GBK" w:cs="方正楷体_GBK"/>
          <w:kern w:val="2"/>
          <w:sz w:val="32"/>
          <w:szCs w:val="32"/>
        </w:rPr>
        <w:t>（二）依申请公开情况</w:t>
      </w:r>
    </w:p>
    <w:p w14:paraId="10622054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严格落实《中华人民共和国政府信息公开条例》关于依申请公开的有关规定，根据实际情况如实提供和回复办理结果，加强审核和合法性审查，提高依申请公开工作质量。2023年，共收到政府信息公开申请112件，已全部办结回复。</w:t>
      </w:r>
    </w:p>
    <w:p w14:paraId="123154B2">
      <w:pPr>
        <w:pStyle w:val="3"/>
        <w:widowControl/>
        <w:spacing w:line="560" w:lineRule="exact"/>
        <w:ind w:firstLine="640"/>
        <w:rPr>
          <w:rFonts w:hint="default"/>
        </w:rPr>
      </w:pPr>
      <w:r>
        <w:rPr>
          <w:rFonts w:hint="default" w:ascii="方正楷体_GBK" w:hAnsi="方正楷体_GBK" w:eastAsia="方正楷体_GBK" w:cs="方正楷体_GBK"/>
          <w:kern w:val="2"/>
          <w:sz w:val="32"/>
          <w:szCs w:val="32"/>
        </w:rPr>
        <w:t>（三）政府信息管理情况</w:t>
      </w:r>
    </w:p>
    <w:p w14:paraId="595CFA02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参照栏目标准，优化信息标题、完善信息内容，规范发布政府信息，并定期梳理信息内容，严把信息关。严格按照信息发布审核制度，加强对上网信息的发布审核，严把文字关，保障政府信息发布质量。针对关乎群众利益的文件均面向群众征集意见，规划类文件采用图片与文字相结合的方式做好解读。落实行政规范性文件清理工作，现行有效规范性文件</w:t>
      </w:r>
      <w:r>
        <w:rPr>
          <w:rFonts w:hint="eastAsia" w:ascii="仿宋" w:hAnsi="仿宋" w:eastAsia="仿宋" w:cs="仿宋"/>
          <w:sz w:val="32"/>
          <w:szCs w:val="32"/>
          <w:lang w:val="en-US" w:eastAsia="zh-CN" w:bidi="ar"/>
        </w:rPr>
        <w:t>5</w:t>
      </w:r>
      <w:r>
        <w:rPr>
          <w:rFonts w:hint="eastAsia" w:ascii="仿宋" w:hAnsi="仿宋" w:eastAsia="仿宋" w:cs="仿宋"/>
          <w:sz w:val="32"/>
          <w:szCs w:val="32"/>
          <w:lang w:bidi="ar"/>
        </w:rPr>
        <w:t>件，废止失效类0件。对涉密涉敏信息进行严密排查，对易错字词、规范表述等进行整理汇总，并及时提醒各科室、单位，切实从源头上把控信息质量。</w:t>
      </w:r>
    </w:p>
    <w:p w14:paraId="1B8F56FF">
      <w:pPr>
        <w:pStyle w:val="3"/>
        <w:widowControl/>
        <w:spacing w:line="560" w:lineRule="exact"/>
        <w:ind w:firstLine="640"/>
        <w:rPr>
          <w:rFonts w:hint="default"/>
        </w:rPr>
      </w:pPr>
      <w:r>
        <w:rPr>
          <w:rFonts w:hint="default" w:ascii="方正楷体_GBK" w:hAnsi="方正楷体_GBK" w:eastAsia="方正楷体_GBK" w:cs="方正楷体_GBK"/>
          <w:kern w:val="2"/>
          <w:sz w:val="32"/>
          <w:szCs w:val="32"/>
        </w:rPr>
        <w:t>（四）政府信息公开平台建设情况</w:t>
      </w:r>
    </w:p>
    <w:p w14:paraId="593DEFB8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根据工作开展需要，适时开设门户网站专栏和宣传飘窗、横幅，及时更新维护网站和政府信息公开平台，营造正确鲜明的舆论、政策导向。根据省、市有关要求，及时调整主动公开目录；对重点领域报送栏目进行优化设置，便于网友浏览和查询。安排专人日常管理维护“亳州自然资源和规划”政务新媒体微信、“亳州市自然资源和规划局”微博平台，定期更新信息，开通网友留言渠道，及时回应网友咨询投诉。</w:t>
      </w:r>
    </w:p>
    <w:p w14:paraId="0B5F3B2F">
      <w:pPr>
        <w:pStyle w:val="3"/>
        <w:widowControl/>
        <w:spacing w:line="560" w:lineRule="exact"/>
        <w:ind w:firstLine="640"/>
        <w:rPr>
          <w:rFonts w:hint="default"/>
        </w:rPr>
      </w:pPr>
      <w:r>
        <w:rPr>
          <w:rFonts w:hint="default" w:ascii="方正楷体_GBK" w:hAnsi="方正楷体_GBK" w:eastAsia="方正楷体_GBK" w:cs="方正楷体_GBK"/>
          <w:kern w:val="2"/>
          <w:sz w:val="32"/>
          <w:szCs w:val="32"/>
        </w:rPr>
        <w:t>（五）监督保障情况</w:t>
      </w:r>
    </w:p>
    <w:p w14:paraId="6DD4C182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2023年，我局领导高度重视政务公开工作，强化科室任务分工，做到信息及时推送。及时总结经验做法，完善信息报送、宣传机制，认真查缺补漏，锻长补短。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将信息宣传工作纳入市局对县区局领导班子考核内容，对照《亳州市自然资源和规划局（林业局）信息宣传考核办法》，进行考核评分；积极参加安徽省自然资源厅及上级人民政府政务公开交流培训会，对照问题限时整改，进行复核；充分保障公众的知情权、监督权、参与权。本年度我局社会评议良好，未发生因不履行政府信息公开而产生的责任追究情况。</w:t>
      </w:r>
    </w:p>
    <w:p w14:paraId="2C12E9D6">
      <w:pPr>
        <w:widowControl/>
        <w:overflowPunct w:val="0"/>
        <w:spacing w:beforeAutospacing="1" w:afterAutospacing="1" w:line="560" w:lineRule="exact"/>
        <w:ind w:left="420" w:leftChars="200"/>
        <w:jc w:val="left"/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  <w:t>二、主动公开政府信息情况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64"/>
        <w:gridCol w:w="2164"/>
        <w:gridCol w:w="2164"/>
        <w:gridCol w:w="1928"/>
      </w:tblGrid>
      <w:tr w14:paraId="226C4A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B968F18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第二十条第（一）项</w:t>
            </w:r>
          </w:p>
        </w:tc>
      </w:tr>
      <w:tr w14:paraId="69553D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09F74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1285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43175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本年制发件数</w:t>
            </w:r>
          </w:p>
        </w:tc>
        <w:tc>
          <w:tcPr>
            <w:tcW w:w="1285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3B683E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本年废止件数</w:t>
            </w:r>
          </w:p>
        </w:tc>
        <w:tc>
          <w:tcPr>
            <w:tcW w:w="1144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5C5375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现行有效件数</w:t>
            </w:r>
          </w:p>
        </w:tc>
      </w:tr>
      <w:tr w14:paraId="3F1881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CE69D7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规章</w:t>
            </w:r>
          </w:p>
        </w:tc>
        <w:tc>
          <w:tcPr>
            <w:tcW w:w="1285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85805C">
            <w:pPr>
              <w:widowControl/>
              <w:spacing w:beforeAutospacing="1" w:afterAutospacing="1"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1285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7BA41F">
            <w:pPr>
              <w:widowControl/>
              <w:spacing w:beforeAutospacing="1" w:afterAutospacing="1"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114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6F1B75">
            <w:pPr>
              <w:widowControl/>
              <w:spacing w:beforeAutospacing="1" w:afterAutospacing="1"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59EF5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12B47F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行政规范性文件</w:t>
            </w:r>
          </w:p>
        </w:tc>
        <w:tc>
          <w:tcPr>
            <w:tcW w:w="1285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7020E6">
            <w:pPr>
              <w:widowControl/>
              <w:spacing w:beforeAutospacing="1" w:afterAutospacing="1"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1285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D20C07">
            <w:pPr>
              <w:widowControl/>
              <w:spacing w:beforeAutospacing="1" w:afterAutospacing="1"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114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4567CE">
            <w:pPr>
              <w:widowControl/>
              <w:spacing w:beforeAutospacing="1" w:afterAutospacing="1"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"/>
              </w:rPr>
              <w:t>5</w:t>
            </w:r>
            <w:bookmarkStart w:id="0" w:name="_GoBack"/>
            <w:bookmarkEnd w:id="0"/>
          </w:p>
        </w:tc>
      </w:tr>
      <w:tr w14:paraId="559379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AF4031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第二十条第（五）项</w:t>
            </w:r>
          </w:p>
        </w:tc>
      </w:tr>
      <w:tr w14:paraId="5A05F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FD01BC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3715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30AF4C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本年处理决定数量</w:t>
            </w:r>
          </w:p>
        </w:tc>
      </w:tr>
      <w:tr w14:paraId="293F9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1F868A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行政许可</w:t>
            </w:r>
          </w:p>
        </w:tc>
        <w:tc>
          <w:tcPr>
            <w:tcW w:w="3715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EB58C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276</w:t>
            </w:r>
          </w:p>
        </w:tc>
      </w:tr>
      <w:tr w14:paraId="02AA62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08379E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第二十条第（六）项</w:t>
            </w:r>
          </w:p>
        </w:tc>
      </w:tr>
      <w:tr w14:paraId="7B99B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B39E70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3715" w:type="pct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F87760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本年处理决定数量</w:t>
            </w:r>
          </w:p>
        </w:tc>
      </w:tr>
      <w:tr w14:paraId="301219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2AFE82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行政处罚</w:t>
            </w:r>
          </w:p>
        </w:tc>
        <w:tc>
          <w:tcPr>
            <w:tcW w:w="3715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B4216B">
            <w:pPr>
              <w:widowControl/>
              <w:spacing w:beforeAutospacing="1" w:afterAutospacing="1"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2F2857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5D47E5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行政强制</w:t>
            </w:r>
          </w:p>
        </w:tc>
        <w:tc>
          <w:tcPr>
            <w:tcW w:w="3715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EE5DA7">
            <w:pPr>
              <w:widowControl/>
              <w:spacing w:beforeAutospacing="1" w:afterAutospacing="1"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7D4AA4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5000" w:type="pct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3E883C9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第二十条第（八）项</w:t>
            </w:r>
          </w:p>
        </w:tc>
      </w:tr>
      <w:tr w14:paraId="013E8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EEFF17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3715" w:type="pct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43CBD0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本年收费金额（单位：万元）</w:t>
            </w:r>
          </w:p>
        </w:tc>
      </w:tr>
      <w:tr w14:paraId="10DFE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8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53FD3B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行政事业性收费</w:t>
            </w:r>
          </w:p>
        </w:tc>
        <w:tc>
          <w:tcPr>
            <w:tcW w:w="3715" w:type="pct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7AD8C9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1501.809061</w:t>
            </w:r>
          </w:p>
        </w:tc>
      </w:tr>
    </w:tbl>
    <w:p w14:paraId="51FE2D68">
      <w:pPr>
        <w:widowControl/>
        <w:overflowPunct w:val="0"/>
        <w:spacing w:beforeAutospacing="1" w:afterAutospacing="1" w:line="600" w:lineRule="exact"/>
        <w:ind w:firstLine="640" w:firstLineChars="200"/>
        <w:jc w:val="left"/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  <w:t>三、收到和处理政府信息公开申请情况</w:t>
      </w:r>
    </w:p>
    <w:tbl>
      <w:tblPr>
        <w:tblStyle w:val="4"/>
        <w:tblW w:w="5000" w:type="pct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8"/>
        <w:gridCol w:w="820"/>
        <w:gridCol w:w="2797"/>
        <w:gridCol w:w="598"/>
        <w:gridCol w:w="598"/>
        <w:gridCol w:w="598"/>
        <w:gridCol w:w="598"/>
        <w:gridCol w:w="598"/>
        <w:gridCol w:w="598"/>
        <w:gridCol w:w="598"/>
      </w:tblGrid>
      <w:tr w14:paraId="7C9963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29" w:type="pct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DFAE3B">
            <w:pPr>
              <w:widowControl/>
              <w:spacing w:beforeAutospacing="1" w:afterAutospacing="1"/>
              <w:jc w:val="left"/>
            </w:pPr>
            <w:r>
              <w:rPr>
                <w:rFonts w:ascii="楷体" w:hAnsi="楷体" w:eastAsia="楷体" w:cs="楷体"/>
                <w:color w:val="000000"/>
                <w:sz w:val="20"/>
                <w:szCs w:val="20"/>
                <w:lang w:bidi="ar"/>
              </w:rPr>
              <w:t>（本列数据的勾稽关系为：第一项加第二项之和，等于第三项加第四项之和）</w:t>
            </w:r>
          </w:p>
        </w:tc>
        <w:tc>
          <w:tcPr>
            <w:tcW w:w="2471" w:type="pct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785E3D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申请人情况</w:t>
            </w:r>
          </w:p>
        </w:tc>
      </w:tr>
      <w:tr w14:paraId="56752E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29" w:type="pct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57E354">
            <w:pPr>
              <w:rPr>
                <w:rFonts w:ascii="宋体"/>
                <w:sz w:val="24"/>
              </w:rPr>
            </w:pPr>
          </w:p>
        </w:tc>
        <w:tc>
          <w:tcPr>
            <w:tcW w:w="353" w:type="pct"/>
            <w:vMerge w:val="restart"/>
            <w:tcBorders>
              <w:top w:val="single" w:color="auto" w:sz="2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4A287E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自然人</w:t>
            </w:r>
          </w:p>
        </w:tc>
        <w:tc>
          <w:tcPr>
            <w:tcW w:w="1764" w:type="pct"/>
            <w:gridSpan w:val="5"/>
            <w:tcBorders>
              <w:top w:val="single" w:color="auto" w:sz="8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40A8E1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法人或其他组织</w:t>
            </w:r>
          </w:p>
        </w:tc>
        <w:tc>
          <w:tcPr>
            <w:tcW w:w="353" w:type="pct"/>
            <w:vMerge w:val="restart"/>
            <w:tcBorders>
              <w:top w:val="single" w:color="auto" w:sz="8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A1479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</w:tr>
      <w:tr w14:paraId="0953302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2529" w:type="pct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39CB9E">
            <w:pPr>
              <w:rPr>
                <w:rFonts w:ascii="宋体"/>
                <w:sz w:val="24"/>
              </w:rPr>
            </w:pPr>
          </w:p>
        </w:tc>
        <w:tc>
          <w:tcPr>
            <w:tcW w:w="353" w:type="pct"/>
            <w:vMerge w:val="continue"/>
            <w:tcBorders>
              <w:top w:val="single" w:color="auto" w:sz="2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DD74A4">
            <w:pPr>
              <w:rPr>
                <w:rFonts w:ascii="宋体"/>
                <w:sz w:val="24"/>
              </w:rPr>
            </w:pP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A7380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商业</w:t>
            </w:r>
          </w:p>
          <w:p w14:paraId="7BAD86A3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企业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8F5562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科研</w:t>
            </w:r>
          </w:p>
          <w:p w14:paraId="4D38B004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机构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C013B4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社会公益组织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FA070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法律服务机构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A8805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</w:p>
        </w:tc>
        <w:tc>
          <w:tcPr>
            <w:tcW w:w="353" w:type="pct"/>
            <w:vMerge w:val="continue"/>
            <w:tcBorders>
              <w:top w:val="single" w:color="auto" w:sz="8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C6ACDC">
            <w:pPr>
              <w:rPr>
                <w:rFonts w:ascii="宋体"/>
                <w:sz w:val="24"/>
              </w:rPr>
            </w:pPr>
          </w:p>
        </w:tc>
      </w:tr>
      <w:tr w14:paraId="499B601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2529" w:type="pct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34C7A5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一、本年新收政府信息公开申请数量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3E2FA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109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8BFC0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3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71456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9B2B0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1150B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DB306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B3B36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112</w:t>
            </w:r>
          </w:p>
        </w:tc>
      </w:tr>
      <w:tr w14:paraId="77C4CA2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2529" w:type="pct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38F678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二、上年结转政府信息公开申请数量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1E772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17933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3B788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38375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28DE8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B92D6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19E44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</w:tr>
      <w:tr w14:paraId="282437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394" w:type="pct"/>
            <w:vMerge w:val="restart"/>
            <w:tcBorders>
              <w:top w:val="nil"/>
              <w:left w:val="single" w:color="auto" w:sz="4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6D3A3F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三、本年度办理结果</w:t>
            </w:r>
          </w:p>
        </w:tc>
        <w:tc>
          <w:tcPr>
            <w:tcW w:w="2135" w:type="pct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241FDE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（一）予以公开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C7DB4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30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31B51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70002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2D38E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7ED86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24FE8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B6CFC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30</w:t>
            </w:r>
          </w:p>
        </w:tc>
      </w:tr>
      <w:tr w14:paraId="2DC2EBC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4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E3F86E">
            <w:pPr>
              <w:rPr>
                <w:rFonts w:ascii="宋体"/>
                <w:sz w:val="24"/>
              </w:rPr>
            </w:pPr>
          </w:p>
        </w:tc>
        <w:tc>
          <w:tcPr>
            <w:tcW w:w="213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5C586A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（二）部分公开</w:t>
            </w:r>
            <w:r>
              <w:rPr>
                <w:rFonts w:hint="eastAsia" w:ascii="楷体" w:hAnsi="楷体" w:eastAsia="楷体" w:cs="楷体"/>
                <w:color w:val="000000"/>
                <w:sz w:val="20"/>
                <w:szCs w:val="20"/>
                <w:lang w:bidi="ar"/>
              </w:rPr>
              <w:t>（区分处理的，只计这一情形，不计其他情形）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D06E1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23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D223C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ED689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A9085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39BD2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CCD20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5359B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23</w:t>
            </w:r>
          </w:p>
        </w:tc>
      </w:tr>
      <w:tr w14:paraId="57A3737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restart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EBAE02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 </w:t>
            </w:r>
          </w:p>
        </w:tc>
        <w:tc>
          <w:tcPr>
            <w:tcW w:w="484" w:type="pct"/>
            <w:vMerge w:val="restart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85BB4E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（三）不予公开</w:t>
            </w:r>
          </w:p>
        </w:tc>
        <w:tc>
          <w:tcPr>
            <w:tcW w:w="16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565CBA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1.属于国家秘密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ADF10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3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3D3D4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C35BC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C10B1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F3C5D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56C63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CEB74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3</w:t>
            </w:r>
          </w:p>
        </w:tc>
      </w:tr>
      <w:tr w14:paraId="77FE61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7BA091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B4C082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8C5EB9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2.其他法律行政法规禁止公开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F3041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7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171537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F4BAC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86E1F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2FE65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07CB1D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7315CD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7</w:t>
            </w:r>
          </w:p>
        </w:tc>
      </w:tr>
      <w:tr w14:paraId="5294DDF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A0D533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097681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B965A1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3.危及“三安全一稳定”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6973C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EDF10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CD0BB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BBB3D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EAD38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22E02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137CE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47FB1A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E1A096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F3D8D3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0E6D6A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4.保护第三方合法权益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4486A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86431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5435B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FBBC6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6B1F1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C9C76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4549F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4D91D3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A4B4FC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365284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98CC38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5.属于三类内部事务信息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4FE85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D6766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5008F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68219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0330C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4230D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74F53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178437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13BA8F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A4CF2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7F37D4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6.属于四类过程性信息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D1A00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05B04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8E162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B2CD8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427C8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C3638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D86A3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33C2051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1FB10A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BE7937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EB3BD5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7.属于行政执法案卷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BC5B6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56791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E2800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8ECB3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95BEB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1E16B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531B9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4B5811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87DEA0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5A185E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10EE14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8.属于行政查询事项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0E421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2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4C6A8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9590B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58BD3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F2301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EBF21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9D0F4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2</w:t>
            </w:r>
          </w:p>
        </w:tc>
      </w:tr>
      <w:tr w14:paraId="782B168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F2E6BC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restar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049508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（四）无法提供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0CAF3E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1.本机关不掌握相关政府信息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F5F17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29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99503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3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03141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EBF22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9B433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CFCC9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3408E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32</w:t>
            </w:r>
          </w:p>
        </w:tc>
      </w:tr>
      <w:tr w14:paraId="6D3D0B8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D1C4E5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B3E5D6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D62679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2.没有现成信息需要另行制作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C6134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CCFA1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A051B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1F71F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D98F4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BBB1B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80E84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</w:t>
            </w:r>
          </w:p>
        </w:tc>
      </w:tr>
      <w:tr w14:paraId="263D38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B7C7BF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489D3A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C52EE90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3.补正后申请内容仍不明确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54C26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4A034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21887D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1964D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C8E97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5453B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3B067D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500EA5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EEEC1B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restar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79A2FE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（五）不予处理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22C8CD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1.信访举报投诉类申请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9C7BB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BB860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69283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F69FA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D11C4D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609D4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BC60C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2A218DC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4974D8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2BC00D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E1DD39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2.重复申请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3DD112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4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7AA5B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4D5FB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E99F0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14963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7AE0E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1A14C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4</w:t>
            </w:r>
          </w:p>
        </w:tc>
      </w:tr>
      <w:tr w14:paraId="66B4C7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A3D6DC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23D3F7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2D18F8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3.要求提供公开出版物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058B8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FD1B0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3577F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61400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1E80D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15C6D2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DEA5E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3318B18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5E4521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719C41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78E814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4.无正当理由大量反复申请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A6E7AF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E9524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B1D38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54DDA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A634E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54B24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CCE63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006A32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188B04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D52F7B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50071C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5.要求行政机关确认或重新出具已获取信息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7A176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9C542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87FF3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18C4D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15EA9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86EF9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single" w:color="auto" w:sz="2" w:space="0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859C1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5FA78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FFD556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restart"/>
            <w:tcBorders>
              <w:top w:val="nil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FD5AD3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（六）其他处理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9FA3FB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1.申请人无正当理由逾期不补正、行政机关不再处理其政府信息公开申请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BC45B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71C11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50BEA1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AA55E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82091B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A3546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3B6F9A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Calibri"/>
                <w:color w:val="000000"/>
                <w:sz w:val="20"/>
                <w:szCs w:val="20"/>
                <w:lang w:bidi="ar"/>
              </w:rPr>
              <w:t> </w:t>
            </w:r>
          </w:p>
          <w:p w14:paraId="75C3986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505D80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A334F0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9CF3A1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A99089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0A9E4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11838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30606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E4578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BF7DB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875C1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C2D09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Calibri"/>
                <w:color w:val="000000"/>
                <w:sz w:val="20"/>
                <w:szCs w:val="20"/>
                <w:lang w:bidi="ar"/>
              </w:rPr>
              <w:t> </w:t>
            </w:r>
          </w:p>
          <w:p w14:paraId="6A5FB7C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</w:tr>
      <w:tr w14:paraId="0576AF9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B62051">
            <w:pPr>
              <w:rPr>
                <w:rFonts w:ascii="宋体"/>
                <w:sz w:val="24"/>
              </w:rPr>
            </w:pPr>
          </w:p>
        </w:tc>
        <w:tc>
          <w:tcPr>
            <w:tcW w:w="484" w:type="pct"/>
            <w:vMerge w:val="continue"/>
            <w:tcBorders>
              <w:top w:val="nil"/>
              <w:left w:val="single" w:color="auto" w:sz="2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8728C2">
            <w:pPr>
              <w:rPr>
                <w:rFonts w:ascii="宋体"/>
                <w:sz w:val="24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877A77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3.其他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ED65E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82D12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03923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6563F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7AE08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4F141F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BC099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10</w:t>
            </w:r>
          </w:p>
        </w:tc>
      </w:tr>
      <w:tr w14:paraId="46638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4" w:type="pct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EBEF55">
            <w:pPr>
              <w:rPr>
                <w:rFonts w:ascii="宋体"/>
                <w:sz w:val="24"/>
              </w:rPr>
            </w:pPr>
          </w:p>
        </w:tc>
        <w:tc>
          <w:tcPr>
            <w:tcW w:w="2135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EBA879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（七）总计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76EB0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109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ACFA9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3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D9DE17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160503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51C129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879985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F6EDD0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112</w:t>
            </w:r>
          </w:p>
        </w:tc>
      </w:tr>
      <w:tr w14:paraId="3C4BE2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29" w:type="pct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4DD92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四、结转下年度继续办理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BF402C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C355B8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83EC4E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534656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53219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E090C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5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BC78E3">
            <w:pPr>
              <w:widowControl/>
              <w:spacing w:beforeAutospacing="1" w:afterAutospacing="1"/>
              <w:ind w:firstLine="240" w:firstLineChars="100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0</w:t>
            </w:r>
          </w:p>
        </w:tc>
      </w:tr>
    </w:tbl>
    <w:p w14:paraId="08B69EC5">
      <w:pPr>
        <w:widowControl/>
        <w:overflowPunct w:val="0"/>
        <w:spacing w:beforeAutospacing="1" w:afterAutospacing="1" w:line="600" w:lineRule="exact"/>
        <w:ind w:firstLine="640" w:firstLineChars="200"/>
        <w:jc w:val="left"/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  <w:t>四、政府信息公开行政复议、行政诉讼情况</w:t>
      </w:r>
    </w:p>
    <w:tbl>
      <w:tblPr>
        <w:tblStyle w:val="4"/>
        <w:tblW w:w="5000" w:type="pct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567"/>
        <w:gridCol w:w="567"/>
        <w:gridCol w:w="567"/>
        <w:gridCol w:w="570"/>
        <w:gridCol w:w="568"/>
        <w:gridCol w:w="568"/>
        <w:gridCol w:w="568"/>
        <w:gridCol w:w="568"/>
        <w:gridCol w:w="569"/>
        <w:gridCol w:w="568"/>
        <w:gridCol w:w="568"/>
        <w:gridCol w:w="568"/>
        <w:gridCol w:w="568"/>
        <w:gridCol w:w="571"/>
      </w:tblGrid>
      <w:tr w14:paraId="1D02E4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67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D8680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行政复议</w:t>
            </w:r>
          </w:p>
        </w:tc>
        <w:tc>
          <w:tcPr>
            <w:tcW w:w="3333" w:type="pct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E8E223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行政诉讼</w:t>
            </w:r>
          </w:p>
        </w:tc>
      </w:tr>
      <w:tr w14:paraId="7EADBAD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33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5B3338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结果维持</w:t>
            </w:r>
          </w:p>
        </w:tc>
        <w:tc>
          <w:tcPr>
            <w:tcW w:w="333" w:type="pct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F92553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  <w:p w14:paraId="765428D2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333" w:type="pct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8DF26D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</w:p>
          <w:p w14:paraId="102E0297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333" w:type="pct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040485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</w:p>
          <w:p w14:paraId="6BF17082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333" w:type="pct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35D6F7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1666" w:type="pct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483583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未经复议直接起诉</w:t>
            </w:r>
          </w:p>
        </w:tc>
        <w:tc>
          <w:tcPr>
            <w:tcW w:w="1667" w:type="pct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D80BE7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复议后起诉</w:t>
            </w:r>
          </w:p>
        </w:tc>
      </w:tr>
      <w:tr w14:paraId="3C8A94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33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187F58">
            <w:pPr>
              <w:rPr>
                <w:rFonts w:ascii="宋体"/>
                <w:sz w:val="24"/>
              </w:rPr>
            </w:pPr>
          </w:p>
        </w:tc>
        <w:tc>
          <w:tcPr>
            <w:tcW w:w="333" w:type="pct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CA8359">
            <w:pPr>
              <w:rPr>
                <w:rFonts w:ascii="宋体"/>
                <w:sz w:val="24"/>
              </w:rPr>
            </w:pPr>
          </w:p>
        </w:tc>
        <w:tc>
          <w:tcPr>
            <w:tcW w:w="333" w:type="pct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516D27">
            <w:pPr>
              <w:rPr>
                <w:rFonts w:ascii="宋体"/>
                <w:sz w:val="24"/>
              </w:rPr>
            </w:pPr>
          </w:p>
        </w:tc>
        <w:tc>
          <w:tcPr>
            <w:tcW w:w="333" w:type="pct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401681">
            <w:pPr>
              <w:rPr>
                <w:rFonts w:ascii="宋体"/>
                <w:sz w:val="24"/>
              </w:rPr>
            </w:pPr>
          </w:p>
        </w:tc>
        <w:tc>
          <w:tcPr>
            <w:tcW w:w="333" w:type="pct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B5538C">
            <w:pPr>
              <w:rPr>
                <w:rFonts w:ascii="宋体"/>
                <w:sz w:val="24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B46A8E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  <w:p w14:paraId="00873809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59C572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  <w:p w14:paraId="53BB089A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F8C7BF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</w:p>
          <w:p w14:paraId="72DAC882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C6F37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</w:p>
          <w:p w14:paraId="55F223B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57ACFA4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A54FE5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  <w:p w14:paraId="62334218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CA18A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  <w:p w14:paraId="72AD133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E6C27F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</w:p>
          <w:p w14:paraId="6DDE9420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72446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</w:p>
          <w:p w14:paraId="57C87710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333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42FF6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</w:tr>
      <w:tr w14:paraId="6BACB8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333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C582BA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60BB43">
            <w:pPr>
              <w:widowControl/>
              <w:spacing w:beforeAutospacing="1" w:afterAutospacing="1"/>
              <w:jc w:val="center"/>
            </w:pPr>
            <w:r>
              <w:rPr>
                <w:rFonts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358A59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083248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B437F6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73CD79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825098A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225784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E8473D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D83AD0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EE6904">
            <w:pPr>
              <w:widowControl/>
              <w:spacing w:beforeAutospacing="1" w:afterAutospacing="1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268A72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1BECFF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黑体" w:cs="Times New Roman"/>
                <w:color w:val="000000"/>
                <w:szCs w:val="21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0C8D0B">
            <w:pPr>
              <w:widowControl/>
              <w:spacing w:beforeAutospacing="1" w:afterAutospacing="1"/>
              <w:jc w:val="center"/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bidi="ar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31F9B4"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0</w:t>
            </w:r>
          </w:p>
        </w:tc>
      </w:tr>
    </w:tbl>
    <w:p w14:paraId="043AF964">
      <w:pPr>
        <w:pStyle w:val="2"/>
        <w:widowControl/>
        <w:spacing w:line="560" w:lineRule="exact"/>
        <w:ind w:firstLine="640"/>
        <w:rPr>
          <w:rFonts w:hint="default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五、存在的主要问题及改进情况</w:t>
      </w:r>
    </w:p>
    <w:p w14:paraId="0B714542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2023年，我局政务公开水平虽有一定提升，但也存在一些问题：一是主动公开不够及时，部分内容缺少规定要素；二是对县区局基层政务公开检查力度不够，部分信息未及时公开；三是政策解读方式还需拓展，解读效果还需进一步增强。</w:t>
      </w:r>
    </w:p>
    <w:p w14:paraId="39F191A4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针对存在的问题，我局将结合实际，重点做好以下几个方面的工作：一是进一步压实政务公开工作责任，明确重点事项的公开责任科室、责任人和时间节点，及时更新重点领域信息，完善信息公开要素；二是以案例分析、问题整改为契机，加强对县区局政务公开工作帮带指导，推动提升全市自然资源和规划（林业）工作公开水平；三是进一步丰富政策解读形式，从持续用好“两微一端”及合作的亳州晚报、广播电视台等，多形式、多途径开展好政策解读，提升政策解读的效果，为全市自然资源和规划（林业）工作稳定有序开展奠定坚实的舆论基础。</w:t>
      </w:r>
    </w:p>
    <w:p w14:paraId="7AFF2ACF">
      <w:pPr>
        <w:pStyle w:val="2"/>
        <w:widowControl/>
        <w:spacing w:line="560" w:lineRule="exact"/>
        <w:ind w:firstLine="640"/>
        <w:rPr>
          <w:rFonts w:hint="default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六、其他需要报告的事项</w:t>
      </w:r>
    </w:p>
    <w:p w14:paraId="6FE5EAEA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sz w:val="32"/>
          <w:szCs w:val="32"/>
          <w:lang w:bidi="ar"/>
        </w:rPr>
        <w:t>根据《国务院办公厅关于印发〈政府信息公开信息处理费管理办法〉的通知》（国办函〔2020〕109号）中明确的按件、按量收费标准，本年度没有产生信息公开处理费，且无其他需要报告事项。</w:t>
      </w:r>
    </w:p>
    <w:p w14:paraId="02857DD8">
      <w:pPr>
        <w:widowControl/>
        <w:spacing w:beforeAutospacing="1" w:afterAutospacing="1" w:line="560" w:lineRule="exact"/>
        <w:ind w:firstLine="640"/>
        <w:jc w:val="left"/>
        <w:rPr>
          <w:rFonts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对照2022年省厅印发的《安徽省自然资源领域基层政务公开标准目录》，积极推进基层政务公开标准化规范化建设，加强与县区局负责政务公开人员的联系，并加入省厅信息公开交流工作群，实时接收传达省厅关于深化基层两化的文件要求，切实做好贯彻落实工作。适时对县区局基层两化栏目设置及信息发布情况进行审查，加强问题整改，持续提升基层政务公开的标准化、规范化水平。</w:t>
      </w:r>
    </w:p>
    <w:p w14:paraId="6A682AF5">
      <w:pPr>
        <w:widowControl/>
        <w:spacing w:beforeAutospacing="1" w:afterAutospacing="1" w:line="560" w:lineRule="exact"/>
        <w:ind w:firstLine="640"/>
        <w:jc w:val="left"/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2023年，对照省自然资源和规划厅关于重点领域目录要求，积极配合市政务公开办，完成重点领域目录搭建及信息有效完善。不断强化重点领域信息更新与问题整改，深化落实我局政务公开工作。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hYzVkMDcwODFlMTZlMmMzMThlZGVjYTdhNjBmZDgifQ=="/>
  </w:docVars>
  <w:rsids>
    <w:rsidRoot w:val="00870459"/>
    <w:rsid w:val="000E6519"/>
    <w:rsid w:val="002C23D5"/>
    <w:rsid w:val="0032275A"/>
    <w:rsid w:val="00434890"/>
    <w:rsid w:val="0060271E"/>
    <w:rsid w:val="00625890"/>
    <w:rsid w:val="006C4011"/>
    <w:rsid w:val="00870459"/>
    <w:rsid w:val="008C7933"/>
    <w:rsid w:val="21DE2D97"/>
    <w:rsid w:val="22C14B3C"/>
    <w:rsid w:val="258771F2"/>
    <w:rsid w:val="2D3A4C70"/>
    <w:rsid w:val="316965B5"/>
    <w:rsid w:val="3EE37DED"/>
    <w:rsid w:val="5CD86B26"/>
    <w:rsid w:val="6EA520B8"/>
    <w:rsid w:val="7568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6</Pages>
  <Words>1353</Words>
  <Characters>1400</Characters>
  <Lines>22</Lines>
  <Paragraphs>6</Paragraphs>
  <TotalTime>15</TotalTime>
  <ScaleCrop>false</ScaleCrop>
  <LinksUpToDate>false</LinksUpToDate>
  <CharactersWithSpaces>1400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2024-01-24T08:50:00Z</dcterms:created>
  <dc:creator>Administrator</dc:creator>
  <cp:lastModifiedBy>Lucky</cp:lastModifiedBy>
  <dcterms:modified xsi:type="dcterms:W3CDTF">2025-01-13T07:52:05Z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AB76DE183A4048A682DA2D71445B4DF3_12</vt:lpwstr>
  </property>
</Properties>
</file>