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E5DB2">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关于</w:t>
      </w: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《亳州市中心城区地下空间建设用地开发利用实施意见（</w:t>
      </w:r>
      <w:r>
        <w:rPr>
          <w:rFonts w:hint="eastAsia" w:ascii="方正小标宋简体" w:hAnsi="方正小标宋简体" w:eastAsia="方正小标宋简体" w:cs="方正小标宋简体"/>
          <w:color w:val="000000" w:themeColor="text1"/>
          <w:sz w:val="44"/>
          <w:szCs w:val="44"/>
          <w:lang w:val="en-US" w:eastAsia="zh-CN"/>
          <w14:textFill>
            <w14:solidFill>
              <w14:schemeClr w14:val="tx1"/>
            </w14:solidFill>
          </w14:textFill>
        </w:rPr>
        <w:t>征求意见</w:t>
      </w: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稿）》</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起草</w:t>
      </w: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说明</w:t>
      </w:r>
    </w:p>
    <w:p w14:paraId="5084810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楷体_GBK" w:hAnsi="方正楷体_GBK" w:eastAsia="方正楷体_GBK" w:cs="方正楷体_GBK"/>
          <w:color w:val="000000" w:themeColor="text1"/>
          <w:sz w:val="32"/>
          <w:szCs w:val="32"/>
          <w14:textFill>
            <w14:solidFill>
              <w14:schemeClr w14:val="tx1"/>
            </w14:solidFill>
          </w14:textFill>
        </w:rPr>
      </w:pPr>
    </w:p>
    <w:p w14:paraId="7F937D03">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国标黑体" w:hAnsi="国标黑体" w:eastAsia="国标黑体" w:cs="国标黑体"/>
          <w:color w:val="000000"/>
          <w:sz w:val="32"/>
          <w:szCs w:val="32"/>
          <w:lang w:val="en-US" w:eastAsia="zh-CN"/>
        </w:rPr>
      </w:pPr>
      <w:r>
        <w:rPr>
          <w:rFonts w:hint="eastAsia" w:ascii="国标黑体" w:hAnsi="国标黑体" w:eastAsia="国标黑体" w:cs="国标黑体"/>
          <w:color w:val="000000"/>
          <w:sz w:val="32"/>
          <w:szCs w:val="32"/>
          <w:lang w:val="en-US" w:eastAsia="zh-CN"/>
        </w:rPr>
        <w:t>一、起草背景</w:t>
      </w:r>
    </w:p>
    <w:p w14:paraId="5A4BDE66">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国标仿宋" w:hAnsi="国标仿宋" w:eastAsia="国标仿宋" w:cs="国标仿宋"/>
          <w:color w:val="000000"/>
          <w:sz w:val="32"/>
          <w:szCs w:val="32"/>
          <w:lang w:val="en-US" w:eastAsia="zh-CN"/>
        </w:rPr>
      </w:pPr>
      <w:r>
        <w:rPr>
          <w:rFonts w:hint="eastAsia" w:ascii="国标仿宋" w:hAnsi="国标仿宋" w:eastAsia="国标仿宋" w:cs="国标仿宋"/>
          <w:color w:val="000000"/>
          <w:sz w:val="32"/>
          <w:szCs w:val="32"/>
          <w:lang w:val="en-US" w:eastAsia="zh-CN"/>
        </w:rPr>
        <w:t>《中共中央办公厅 国务院办公厅关于全面加强资源节约工作的意见》提出“推广土地立体开发，鼓励交通枢纽等大型基础设施建设项目综合开发利用地上、地下空间”。《国务院办公厅关于印发要素市场化配置综合改革试点总体方案的通知》（国办发〔2021〕51号）提出“探索地上地下空间综合利用的创新举措”。《“十四五”自然资源保护和利用规划》提出“推进建设用地地上、地表和地下分别设立使用权。加快构建地上、地下空间资源利用的管理制度体系”。2024年7月自然资源部也印发了《关于探索推进城市地下空间开发利用的指导意见》（自然资发〔2024〕146号，以下简称《意见》），从国家层面明确地下空间开发利用总体要求和若干政策措施，为我们起草本文件提供了基本依据。</w:t>
      </w:r>
    </w:p>
    <w:p w14:paraId="6E5E3A3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国标黑体" w:hAnsi="国标黑体" w:eastAsia="国标黑体" w:cs="国标黑体"/>
          <w:color w:val="000000"/>
          <w:sz w:val="32"/>
          <w:szCs w:val="32"/>
          <w:lang w:val="en-US" w:eastAsia="zh-CN"/>
        </w:rPr>
      </w:pPr>
      <w:r>
        <w:rPr>
          <w:rFonts w:hint="eastAsia" w:ascii="国标黑体" w:hAnsi="国标黑体" w:eastAsia="国标黑体" w:cs="国标黑体"/>
          <w:color w:val="000000"/>
          <w:sz w:val="32"/>
          <w:szCs w:val="32"/>
          <w:lang w:val="en-US" w:eastAsia="zh-CN"/>
        </w:rPr>
        <w:t>二、出台必要性</w:t>
      </w:r>
    </w:p>
    <w:p w14:paraId="3CFF28E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国标仿宋" w:hAnsi="国标仿宋" w:eastAsia="国标仿宋" w:cs="国标仿宋"/>
          <w:color w:val="000000" w:themeColor="text1"/>
          <w:sz w:val="32"/>
          <w:szCs w:val="32"/>
          <w:lang w:eastAsia="zh-CN"/>
          <w14:textFill>
            <w14:solidFill>
              <w14:schemeClr w14:val="tx1"/>
            </w14:solidFill>
          </w14:textFill>
        </w:rPr>
      </w:pPr>
      <w:r>
        <w:rPr>
          <w:rFonts w:hint="eastAsia" w:ascii="国标仿宋" w:hAnsi="国标仿宋" w:eastAsia="国标仿宋" w:cs="国标仿宋"/>
          <w:color w:val="000000" w:themeColor="text1"/>
          <w:sz w:val="32"/>
          <w:szCs w:val="32"/>
          <w:lang w:eastAsia="zh-CN"/>
          <w14:textFill>
            <w14:solidFill>
              <w14:schemeClr w14:val="tx1"/>
            </w14:solidFill>
          </w14:textFill>
        </w:rPr>
        <w:t>目前，利用地下空间开发建设</w:t>
      </w:r>
      <w:r>
        <w:rPr>
          <w:rFonts w:hint="eastAsia" w:ascii="国标仿宋" w:hAnsi="国标仿宋" w:eastAsia="国标仿宋" w:cs="国标仿宋"/>
          <w:color w:val="000000" w:themeColor="text1"/>
          <w:sz w:val="32"/>
          <w:szCs w:val="32"/>
          <w14:textFill>
            <w14:solidFill>
              <w14:schemeClr w14:val="tx1"/>
            </w14:solidFill>
          </w14:textFill>
        </w:rPr>
        <w:t>地下交通设施、市政基础设施、地下建筑物和</w:t>
      </w:r>
      <w:r>
        <w:rPr>
          <w:rFonts w:hint="eastAsia" w:ascii="国标仿宋" w:hAnsi="国标仿宋" w:eastAsia="国标仿宋" w:cs="国标仿宋"/>
          <w:color w:val="000000" w:themeColor="text1"/>
          <w:sz w:val="32"/>
          <w:szCs w:val="32"/>
          <w:lang w:eastAsia="zh-CN"/>
          <w14:textFill>
            <w14:solidFill>
              <w14:schemeClr w14:val="tx1"/>
            </w14:solidFill>
          </w14:textFill>
        </w:rPr>
        <w:t>人</w:t>
      </w:r>
      <w:r>
        <w:rPr>
          <w:rFonts w:hint="eastAsia" w:ascii="国标仿宋" w:hAnsi="国标仿宋" w:eastAsia="国标仿宋" w:cs="国标仿宋"/>
          <w:color w:val="000000" w:themeColor="text1"/>
          <w:sz w:val="32"/>
          <w:szCs w:val="32"/>
          <w14:textFill>
            <w14:solidFill>
              <w14:schemeClr w14:val="tx1"/>
            </w14:solidFill>
          </w14:textFill>
        </w:rPr>
        <w:t>防工程等</w:t>
      </w:r>
      <w:r>
        <w:rPr>
          <w:rFonts w:hint="eastAsia" w:ascii="国标仿宋" w:hAnsi="国标仿宋" w:eastAsia="国标仿宋" w:cs="国标仿宋"/>
          <w:color w:val="000000" w:themeColor="text1"/>
          <w:sz w:val="32"/>
          <w:szCs w:val="32"/>
          <w:lang w:eastAsia="zh-CN"/>
          <w14:textFill>
            <w14:solidFill>
              <w14:schemeClr w14:val="tx1"/>
            </w14:solidFill>
          </w14:textFill>
        </w:rPr>
        <w:t>已成为城市建设发展的重要内容，但由于</w:t>
      </w:r>
      <w:r>
        <w:rPr>
          <w:rFonts w:hint="eastAsia" w:ascii="国标仿宋" w:hAnsi="国标仿宋" w:eastAsia="国标仿宋" w:cs="国标仿宋"/>
          <w:color w:val="000000" w:themeColor="text1"/>
          <w:sz w:val="32"/>
          <w:szCs w:val="32"/>
          <w14:textFill>
            <w14:solidFill>
              <w14:schemeClr w14:val="tx1"/>
            </w14:solidFill>
          </w14:textFill>
        </w:rPr>
        <w:t>地下空间开发方面专门立法</w:t>
      </w:r>
      <w:r>
        <w:rPr>
          <w:rFonts w:hint="eastAsia" w:ascii="国标仿宋" w:hAnsi="国标仿宋" w:eastAsia="国标仿宋" w:cs="国标仿宋"/>
          <w:color w:val="000000" w:themeColor="text1"/>
          <w:sz w:val="32"/>
          <w:szCs w:val="32"/>
          <w:lang w:eastAsia="zh-CN"/>
          <w14:textFill>
            <w14:solidFill>
              <w14:schemeClr w14:val="tx1"/>
            </w14:solidFill>
          </w14:textFill>
        </w:rPr>
        <w:t>的</w:t>
      </w:r>
      <w:r>
        <w:rPr>
          <w:rFonts w:hint="eastAsia" w:ascii="国标仿宋" w:hAnsi="国标仿宋" w:eastAsia="国标仿宋" w:cs="国标仿宋"/>
          <w:color w:val="000000" w:themeColor="text1"/>
          <w:sz w:val="32"/>
          <w:szCs w:val="32"/>
          <w14:textFill>
            <w14:solidFill>
              <w14:schemeClr w14:val="tx1"/>
            </w14:solidFill>
          </w14:textFill>
        </w:rPr>
        <w:t>空白，</w:t>
      </w:r>
      <w:r>
        <w:rPr>
          <w:rFonts w:hint="eastAsia" w:ascii="国标仿宋" w:hAnsi="国标仿宋" w:eastAsia="国标仿宋" w:cs="国标仿宋"/>
          <w:color w:val="000000" w:themeColor="text1"/>
          <w:sz w:val="32"/>
          <w:szCs w:val="32"/>
          <w:lang w:eastAsia="zh-CN"/>
          <w14:textFill>
            <w14:solidFill>
              <w14:schemeClr w14:val="tx1"/>
            </w14:solidFill>
          </w14:textFill>
        </w:rPr>
        <w:t>也</w:t>
      </w:r>
      <w:r>
        <w:rPr>
          <w:rFonts w:hint="eastAsia" w:ascii="国标仿宋" w:hAnsi="国标仿宋" w:eastAsia="国标仿宋" w:cs="国标仿宋"/>
          <w:color w:val="000000" w:themeColor="text1"/>
          <w:sz w:val="32"/>
          <w:szCs w:val="32"/>
          <w14:textFill>
            <w14:solidFill>
              <w14:schemeClr w14:val="tx1"/>
            </w14:solidFill>
          </w14:textFill>
        </w:rPr>
        <w:t>暴露出一些问题：一是没有合法的土地批准文件，许多已建成的地下建筑物无法办理</w:t>
      </w:r>
      <w:r>
        <w:rPr>
          <w:rFonts w:hint="eastAsia" w:ascii="国标仿宋" w:hAnsi="国标仿宋" w:eastAsia="国标仿宋" w:cs="国标仿宋"/>
          <w:color w:val="000000" w:themeColor="text1"/>
          <w:sz w:val="32"/>
          <w:szCs w:val="32"/>
          <w:lang w:eastAsia="zh-CN"/>
          <w14:textFill>
            <w14:solidFill>
              <w14:schemeClr w14:val="tx1"/>
            </w14:solidFill>
          </w14:textFill>
        </w:rPr>
        <w:t>不动产</w:t>
      </w:r>
      <w:r>
        <w:rPr>
          <w:rFonts w:hint="eastAsia" w:ascii="国标仿宋" w:hAnsi="国标仿宋" w:eastAsia="国标仿宋" w:cs="国标仿宋"/>
          <w:color w:val="000000" w:themeColor="text1"/>
          <w:sz w:val="32"/>
          <w:szCs w:val="32"/>
          <w14:textFill>
            <w14:solidFill>
              <w14:schemeClr w14:val="tx1"/>
            </w14:solidFill>
          </w14:textFill>
        </w:rPr>
        <w:t>登记，</w:t>
      </w:r>
      <w:r>
        <w:rPr>
          <w:rFonts w:hint="eastAsia" w:ascii="国标仿宋" w:hAnsi="国标仿宋" w:eastAsia="国标仿宋" w:cs="国标仿宋"/>
          <w:color w:val="000000" w:themeColor="text1"/>
          <w:sz w:val="32"/>
          <w:szCs w:val="32"/>
          <w:lang w:eastAsia="zh-CN"/>
          <w14:textFill>
            <w14:solidFill>
              <w14:schemeClr w14:val="tx1"/>
            </w14:solidFill>
          </w14:textFill>
        </w:rPr>
        <w:t>也</w:t>
      </w:r>
      <w:r>
        <w:rPr>
          <w:rFonts w:hint="eastAsia" w:ascii="国标仿宋" w:hAnsi="国标仿宋" w:eastAsia="国标仿宋" w:cs="国标仿宋"/>
          <w:color w:val="000000" w:themeColor="text1"/>
          <w:sz w:val="32"/>
          <w:szCs w:val="32"/>
          <w14:textFill>
            <w14:solidFill>
              <w14:schemeClr w14:val="tx1"/>
            </w14:solidFill>
          </w14:textFill>
        </w:rPr>
        <w:t>不能进行转让、抵押</w:t>
      </w:r>
      <w:r>
        <w:rPr>
          <w:rFonts w:hint="eastAsia" w:ascii="国标仿宋" w:hAnsi="国标仿宋" w:eastAsia="国标仿宋" w:cs="国标仿宋"/>
          <w:color w:val="000000" w:themeColor="text1"/>
          <w:sz w:val="32"/>
          <w:szCs w:val="32"/>
          <w:lang w:eastAsia="zh-CN"/>
          <w14:textFill>
            <w14:solidFill>
              <w14:schemeClr w14:val="tx1"/>
            </w14:solidFill>
          </w14:textFill>
        </w:rPr>
        <w:t>等</w:t>
      </w:r>
      <w:r>
        <w:rPr>
          <w:rFonts w:hint="eastAsia" w:ascii="国标仿宋" w:hAnsi="国标仿宋" w:eastAsia="国标仿宋" w:cs="国标仿宋"/>
          <w:color w:val="000000" w:themeColor="text1"/>
          <w:sz w:val="32"/>
          <w:szCs w:val="32"/>
          <w14:textFill>
            <w14:solidFill>
              <w14:schemeClr w14:val="tx1"/>
            </w14:solidFill>
          </w14:textFill>
        </w:rPr>
        <w:t>，影响了投资者开发利用地下空间的积极性</w:t>
      </w:r>
      <w:r>
        <w:rPr>
          <w:rFonts w:hint="eastAsia" w:ascii="国标仿宋" w:hAnsi="国标仿宋" w:eastAsia="国标仿宋" w:cs="国标仿宋"/>
          <w:color w:val="000000" w:themeColor="text1"/>
          <w:sz w:val="32"/>
          <w:szCs w:val="32"/>
          <w:lang w:eastAsia="zh-CN"/>
          <w14:textFill>
            <w14:solidFill>
              <w14:schemeClr w14:val="tx1"/>
            </w14:solidFill>
          </w14:textFill>
        </w:rPr>
        <w:t>，造成社会不稳定因素</w:t>
      </w:r>
      <w:r>
        <w:rPr>
          <w:rFonts w:hint="eastAsia" w:ascii="国标仿宋" w:hAnsi="国标仿宋" w:eastAsia="国标仿宋" w:cs="国标仿宋"/>
          <w:color w:val="000000" w:themeColor="text1"/>
          <w:sz w:val="32"/>
          <w:szCs w:val="32"/>
          <w14:textFill>
            <w14:solidFill>
              <w14:schemeClr w14:val="tx1"/>
            </w14:solidFill>
          </w14:textFill>
        </w:rPr>
        <w:t>；二是地下空间权利范围的不确定，</w:t>
      </w:r>
      <w:r>
        <w:rPr>
          <w:rFonts w:hint="eastAsia" w:ascii="国标仿宋" w:hAnsi="国标仿宋" w:eastAsia="国标仿宋" w:cs="国标仿宋"/>
          <w:color w:val="000000" w:themeColor="text1"/>
          <w:sz w:val="32"/>
          <w:szCs w:val="32"/>
          <w:lang w:eastAsia="zh-CN"/>
          <w14:textFill>
            <w14:solidFill>
              <w14:schemeClr w14:val="tx1"/>
            </w14:solidFill>
          </w14:textFill>
        </w:rPr>
        <w:t>导致</w:t>
      </w:r>
      <w:r>
        <w:rPr>
          <w:rFonts w:hint="eastAsia" w:ascii="国标仿宋" w:hAnsi="国标仿宋" w:eastAsia="国标仿宋" w:cs="国标仿宋"/>
          <w:color w:val="000000" w:themeColor="text1"/>
          <w:sz w:val="32"/>
          <w:szCs w:val="32"/>
          <w14:textFill>
            <w14:solidFill>
              <w14:schemeClr w14:val="tx1"/>
            </w14:solidFill>
          </w14:textFill>
        </w:rPr>
        <w:t>有的建设单位</w:t>
      </w:r>
      <w:r>
        <w:rPr>
          <w:rFonts w:hint="eastAsia" w:ascii="国标仿宋" w:hAnsi="国标仿宋" w:eastAsia="国标仿宋" w:cs="国标仿宋"/>
          <w:color w:val="000000" w:themeColor="text1"/>
          <w:sz w:val="32"/>
          <w:szCs w:val="32"/>
          <w:lang w:eastAsia="zh-CN"/>
          <w14:textFill>
            <w14:solidFill>
              <w14:schemeClr w14:val="tx1"/>
            </w14:solidFill>
          </w14:textFill>
        </w:rPr>
        <w:t>进行</w:t>
      </w:r>
      <w:r>
        <w:rPr>
          <w:rFonts w:hint="eastAsia" w:ascii="国标仿宋" w:hAnsi="国标仿宋" w:eastAsia="国标仿宋" w:cs="国标仿宋"/>
          <w:color w:val="000000" w:themeColor="text1"/>
          <w:sz w:val="32"/>
          <w:szCs w:val="32"/>
          <w14:textFill>
            <w14:solidFill>
              <w14:schemeClr w14:val="tx1"/>
            </w14:solidFill>
          </w14:textFill>
        </w:rPr>
        <w:t>无序开发，影响了城市地下空间的统一规划建设</w:t>
      </w:r>
      <w:r>
        <w:rPr>
          <w:rFonts w:hint="eastAsia" w:ascii="国标仿宋" w:hAnsi="国标仿宋" w:eastAsia="国标仿宋" w:cs="国标仿宋"/>
          <w:color w:val="000000" w:themeColor="text1"/>
          <w:sz w:val="32"/>
          <w:szCs w:val="32"/>
          <w:lang w:eastAsia="zh-CN"/>
          <w14:textFill>
            <w14:solidFill>
              <w14:schemeClr w14:val="tx1"/>
            </w14:solidFill>
          </w14:textFill>
        </w:rPr>
        <w:t>，甚至造成一定安全隐患</w:t>
      </w:r>
      <w:r>
        <w:rPr>
          <w:rFonts w:hint="eastAsia" w:ascii="国标仿宋" w:hAnsi="国标仿宋" w:eastAsia="国标仿宋" w:cs="国标仿宋"/>
          <w:color w:val="000000" w:themeColor="text1"/>
          <w:sz w:val="32"/>
          <w:szCs w:val="32"/>
          <w14:textFill>
            <w14:solidFill>
              <w14:schemeClr w14:val="tx1"/>
            </w14:solidFill>
          </w14:textFill>
        </w:rPr>
        <w:t>。</w:t>
      </w:r>
      <w:r>
        <w:rPr>
          <w:rFonts w:hint="eastAsia" w:ascii="国标仿宋" w:hAnsi="国标仿宋" w:eastAsia="国标仿宋" w:cs="国标仿宋"/>
          <w:color w:val="000000" w:themeColor="text1"/>
          <w:sz w:val="32"/>
          <w:szCs w:val="32"/>
          <w:lang w:eastAsia="zh-CN"/>
          <w14:textFill>
            <w14:solidFill>
              <w14:schemeClr w14:val="tx1"/>
            </w14:solidFill>
          </w14:textFill>
        </w:rPr>
        <w:t>前期我市制定的亳州市中心城区地下空间建设用地管理暂行办法（</w:t>
      </w:r>
      <w:r>
        <w:rPr>
          <w:rFonts w:hint="eastAsia" w:ascii="国标仿宋" w:hAnsi="国标仿宋" w:eastAsia="国标仿宋" w:cs="国标仿宋"/>
          <w:color w:val="000000" w:themeColor="text1"/>
          <w:sz w:val="32"/>
          <w:szCs w:val="32"/>
          <w:lang w:val="en-US" w:eastAsia="zh-CN"/>
          <w14:textFill>
            <w14:solidFill>
              <w14:schemeClr w14:val="tx1"/>
            </w14:solidFill>
          </w14:textFill>
        </w:rPr>
        <w:t>2023年</w:t>
      </w:r>
      <w:r>
        <w:rPr>
          <w:rFonts w:hint="eastAsia" w:ascii="国标仿宋" w:hAnsi="国标仿宋" w:eastAsia="国标仿宋" w:cs="国标仿宋"/>
          <w:color w:val="000000" w:themeColor="text1"/>
          <w:sz w:val="32"/>
          <w:szCs w:val="32"/>
          <w:lang w:eastAsia="zh-CN"/>
          <w14:textFill>
            <w14:solidFill>
              <w14:schemeClr w14:val="tx1"/>
            </w14:solidFill>
          </w14:textFill>
        </w:rPr>
        <w:t>修订版）》（亳政办秘〔20</w:t>
      </w:r>
      <w:r>
        <w:rPr>
          <w:rFonts w:hint="eastAsia" w:ascii="国标仿宋" w:hAnsi="国标仿宋" w:eastAsia="国标仿宋" w:cs="国标仿宋"/>
          <w:color w:val="000000" w:themeColor="text1"/>
          <w:sz w:val="32"/>
          <w:szCs w:val="32"/>
          <w:lang w:val="en-US" w:eastAsia="zh-CN"/>
          <w14:textFill>
            <w14:solidFill>
              <w14:schemeClr w14:val="tx1"/>
            </w14:solidFill>
          </w14:textFill>
        </w:rPr>
        <w:t>23</w:t>
      </w:r>
      <w:r>
        <w:rPr>
          <w:rFonts w:hint="eastAsia" w:ascii="国标仿宋" w:hAnsi="国标仿宋" w:eastAsia="国标仿宋" w:cs="国标仿宋"/>
          <w:color w:val="000000" w:themeColor="text1"/>
          <w:sz w:val="32"/>
          <w:szCs w:val="32"/>
          <w:lang w:eastAsia="zh-CN"/>
          <w14:textFill>
            <w14:solidFill>
              <w14:schemeClr w14:val="tx1"/>
            </w14:solidFill>
          </w14:textFill>
        </w:rPr>
        <w:t>〕</w:t>
      </w:r>
      <w:r>
        <w:rPr>
          <w:rFonts w:hint="eastAsia" w:ascii="国标仿宋" w:hAnsi="国标仿宋" w:eastAsia="国标仿宋" w:cs="国标仿宋"/>
          <w:color w:val="000000" w:themeColor="text1"/>
          <w:sz w:val="32"/>
          <w:szCs w:val="32"/>
          <w:lang w:val="en-US" w:eastAsia="zh-CN"/>
          <w14:textFill>
            <w14:solidFill>
              <w14:schemeClr w14:val="tx1"/>
            </w14:solidFill>
          </w14:textFill>
        </w:rPr>
        <w:t>50</w:t>
      </w:r>
      <w:r>
        <w:rPr>
          <w:rFonts w:hint="eastAsia" w:ascii="国标仿宋" w:hAnsi="国标仿宋" w:eastAsia="国标仿宋" w:cs="国标仿宋"/>
          <w:color w:val="000000" w:themeColor="text1"/>
          <w:sz w:val="32"/>
          <w:szCs w:val="32"/>
          <w:lang w:eastAsia="zh-CN"/>
          <w14:textFill>
            <w14:solidFill>
              <w14:schemeClr w14:val="tx1"/>
            </w14:solidFill>
          </w14:textFill>
        </w:rPr>
        <w:t>号）已过时效，</w:t>
      </w:r>
      <w:r>
        <w:rPr>
          <w:rFonts w:hint="eastAsia" w:ascii="国标仿宋" w:hAnsi="国标仿宋" w:eastAsia="国标仿宋" w:cs="国标仿宋"/>
          <w:color w:val="auto"/>
          <w:sz w:val="32"/>
          <w:szCs w:val="32"/>
        </w:rPr>
        <w:t>为</w:t>
      </w:r>
      <w:r>
        <w:rPr>
          <w:rFonts w:hint="eastAsia" w:ascii="国标仿宋" w:hAnsi="国标仿宋" w:eastAsia="国标仿宋" w:cs="国标仿宋"/>
          <w:color w:val="auto"/>
          <w:sz w:val="32"/>
          <w:szCs w:val="32"/>
          <w:lang w:eastAsia="zh-CN"/>
        </w:rPr>
        <w:t>进一步规范我市中心城区</w:t>
      </w:r>
      <w:r>
        <w:rPr>
          <w:rFonts w:hint="eastAsia" w:ascii="国标仿宋" w:hAnsi="国标仿宋" w:eastAsia="国标仿宋" w:cs="国标仿宋"/>
          <w:color w:val="auto"/>
          <w:sz w:val="32"/>
          <w:szCs w:val="32"/>
        </w:rPr>
        <w:t>地下空间建设用地管理，促进土地节约集约利用和资源高效利用，</w:t>
      </w:r>
      <w:r>
        <w:rPr>
          <w:rFonts w:hint="eastAsia" w:ascii="国标仿宋" w:hAnsi="国标仿宋" w:eastAsia="国标仿宋" w:cs="国标仿宋"/>
          <w:color w:val="auto"/>
          <w:sz w:val="32"/>
          <w:szCs w:val="32"/>
          <w:lang w:eastAsia="zh-CN"/>
        </w:rPr>
        <w:t>提高我市中心城区地下空间用地管理的规范化水平，完善地下空间开发利用的政策规定，有必要结合我市中心城区实际，出台实施意见</w:t>
      </w:r>
      <w:r>
        <w:rPr>
          <w:rFonts w:hint="eastAsia" w:ascii="国标仿宋" w:hAnsi="国标仿宋" w:eastAsia="国标仿宋" w:cs="国标仿宋"/>
          <w:i w:val="0"/>
          <w:caps w:val="0"/>
          <w:color w:val="auto"/>
          <w:spacing w:val="0"/>
          <w:sz w:val="32"/>
          <w:szCs w:val="32"/>
          <w:shd w:val="clear" w:color="auto" w:fill="FFFFFF"/>
          <w:lang w:eastAsia="zh-CN"/>
        </w:rPr>
        <w:t>。</w:t>
      </w:r>
    </w:p>
    <w:p w14:paraId="3BA19049">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国标黑体" w:hAnsi="国标黑体" w:eastAsia="国标黑体" w:cs="国标黑体"/>
          <w:color w:val="000000"/>
          <w:sz w:val="32"/>
          <w:szCs w:val="32"/>
          <w:lang w:val="en-US" w:eastAsia="zh-CN"/>
        </w:rPr>
      </w:pPr>
      <w:bookmarkStart w:id="0" w:name="_GoBack"/>
      <w:r>
        <w:rPr>
          <w:rFonts w:hint="eastAsia" w:ascii="国标黑体" w:hAnsi="国标黑体" w:eastAsia="国标黑体" w:cs="国标黑体"/>
          <w:color w:val="000000"/>
          <w:sz w:val="32"/>
          <w:szCs w:val="32"/>
          <w:lang w:val="en-US" w:eastAsia="zh-CN"/>
        </w:rPr>
        <w:t>三、《实施意见》的主要内容</w:t>
      </w:r>
    </w:p>
    <w:p w14:paraId="18B7A782">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jc w:val="both"/>
        <w:textAlignment w:val="auto"/>
        <w:rPr>
          <w:rFonts w:hint="eastAsia" w:ascii="国标仿宋" w:hAnsi="国标仿宋" w:eastAsia="国标仿宋" w:cs="国标仿宋"/>
          <w:color w:val="000000" w:themeColor="text1"/>
          <w:sz w:val="32"/>
          <w:szCs w:val="32"/>
          <w:lang w:val="en-US" w:eastAsia="zh-CN"/>
          <w14:textFill>
            <w14:solidFill>
              <w14:schemeClr w14:val="tx1"/>
            </w14:solidFill>
          </w14:textFill>
        </w:rPr>
      </w:pPr>
      <w:r>
        <w:rPr>
          <w:rFonts w:hint="eastAsia" w:ascii="国标仿宋" w:hAnsi="国标仿宋" w:eastAsia="国标仿宋" w:cs="国标仿宋"/>
          <w:color w:val="000000" w:themeColor="text1"/>
          <w:sz w:val="32"/>
          <w:szCs w:val="32"/>
          <w:lang w:eastAsia="zh-CN"/>
          <w14:textFill>
            <w14:solidFill>
              <w14:schemeClr w14:val="tx1"/>
            </w14:solidFill>
          </w14:textFill>
        </w:rPr>
        <w:t>（一）第一章总则，主要包括：</w:t>
      </w:r>
      <w:r>
        <w:rPr>
          <w:rFonts w:hint="eastAsia" w:ascii="国标仿宋" w:hAnsi="国标仿宋" w:eastAsia="国标仿宋" w:cs="国标仿宋"/>
          <w:color w:val="000000" w:themeColor="text1"/>
          <w:sz w:val="32"/>
          <w:szCs w:val="32"/>
          <w:lang w:val="en-US" w:eastAsia="zh-CN"/>
          <w14:textFill>
            <w14:solidFill>
              <w14:schemeClr w14:val="tx1"/>
            </w14:solidFill>
          </w14:textFill>
        </w:rPr>
        <w:t>起草依据、适用范围、开发利用基本原则等三条内容。</w:t>
      </w:r>
    </w:p>
    <w:p w14:paraId="587B8C0B">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jc w:val="both"/>
        <w:textAlignment w:val="auto"/>
        <w:rPr>
          <w:rFonts w:hint="eastAsia" w:ascii="国标仿宋" w:hAnsi="国标仿宋" w:eastAsia="国标仿宋" w:cs="国标仿宋"/>
          <w:color w:val="000000" w:themeColor="text1"/>
          <w:sz w:val="32"/>
          <w:szCs w:val="32"/>
          <w:lang w:val="en-US" w:eastAsia="zh-CN"/>
          <w14:textFill>
            <w14:solidFill>
              <w14:schemeClr w14:val="tx1"/>
            </w14:solidFill>
          </w14:textFill>
        </w:rPr>
      </w:pPr>
      <w:r>
        <w:rPr>
          <w:rFonts w:hint="eastAsia" w:ascii="国标仿宋" w:hAnsi="国标仿宋" w:eastAsia="国标仿宋" w:cs="国标仿宋"/>
          <w:color w:val="000000" w:themeColor="text1"/>
          <w:sz w:val="32"/>
          <w:szCs w:val="32"/>
          <w:lang w:val="en-US" w:eastAsia="zh-CN"/>
          <w14:textFill>
            <w14:solidFill>
              <w14:schemeClr w14:val="tx1"/>
            </w14:solidFill>
          </w14:textFill>
        </w:rPr>
        <w:t>（二）第二章规划管理，主要包括：地下空间开发利用专项规划、</w:t>
      </w:r>
      <w:r>
        <w:rPr>
          <w:rFonts w:hint="eastAsia" w:ascii="国标仿宋" w:hAnsi="国标仿宋" w:eastAsia="国标仿宋" w:cs="国标仿宋"/>
          <w:color w:val="auto"/>
          <w:kern w:val="21"/>
          <w:sz w:val="32"/>
          <w:szCs w:val="32"/>
          <w:u w:val="none"/>
          <w:lang w:val="en-US" w:eastAsia="zh-CN" w:bidi="ar-SA"/>
        </w:rPr>
        <w:t>详细规划编制、地下空间土地供应、地下空间规划许可等四条内容</w:t>
      </w:r>
      <w:r>
        <w:rPr>
          <w:rFonts w:hint="eastAsia" w:ascii="国标仿宋" w:hAnsi="国标仿宋" w:eastAsia="国标仿宋" w:cs="国标仿宋"/>
          <w:color w:val="000000" w:themeColor="text1"/>
          <w:sz w:val="32"/>
          <w:szCs w:val="32"/>
          <w:lang w:val="en-US" w:eastAsia="zh-CN"/>
          <w14:textFill>
            <w14:solidFill>
              <w14:schemeClr w14:val="tx1"/>
            </w14:solidFill>
          </w14:textFill>
        </w:rPr>
        <w:t>。</w:t>
      </w:r>
    </w:p>
    <w:p w14:paraId="4A46B330">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jc w:val="both"/>
        <w:textAlignment w:val="auto"/>
        <w:rPr>
          <w:rFonts w:hint="eastAsia" w:ascii="国标仿宋" w:hAnsi="国标仿宋" w:eastAsia="国标仿宋" w:cs="国标仿宋"/>
          <w:color w:val="000000" w:themeColor="text1"/>
          <w:sz w:val="32"/>
          <w:szCs w:val="32"/>
          <w:lang w:eastAsia="zh-CN"/>
          <w14:textFill>
            <w14:solidFill>
              <w14:schemeClr w14:val="tx1"/>
            </w14:solidFill>
          </w14:textFill>
        </w:rPr>
      </w:pPr>
      <w:r>
        <w:rPr>
          <w:rFonts w:hint="eastAsia" w:ascii="国标仿宋" w:hAnsi="国标仿宋" w:eastAsia="国标仿宋" w:cs="国标仿宋"/>
          <w:color w:val="000000" w:themeColor="text1"/>
          <w:sz w:val="32"/>
          <w:szCs w:val="32"/>
          <w:lang w:val="en-US" w:eastAsia="zh-CN"/>
          <w14:textFill>
            <w14:solidFill>
              <w14:schemeClr w14:val="tx1"/>
            </w14:solidFill>
          </w14:textFill>
        </w:rPr>
        <w:t>（三）第三章用地管理，主要包括：地下空间建设用地使用权供应、使用年限、土地用途和面积确定、地价确定、不动产登记、补办用地手续等六条内容</w:t>
      </w:r>
      <w:r>
        <w:rPr>
          <w:rFonts w:hint="eastAsia" w:ascii="国标仿宋" w:hAnsi="国标仿宋" w:eastAsia="国标仿宋" w:cs="国标仿宋"/>
          <w:color w:val="000000" w:themeColor="text1"/>
          <w:sz w:val="32"/>
          <w:szCs w:val="32"/>
          <w:lang w:eastAsia="zh-CN"/>
          <w14:textFill>
            <w14:solidFill>
              <w14:schemeClr w14:val="tx1"/>
            </w14:solidFill>
          </w14:textFill>
        </w:rPr>
        <w:t>。</w:t>
      </w:r>
    </w:p>
    <w:p w14:paraId="4E0796D9">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jc w:val="both"/>
        <w:textAlignment w:val="auto"/>
        <w:rPr>
          <w:rFonts w:hint="eastAsia" w:ascii="国标仿宋" w:hAnsi="国标仿宋" w:eastAsia="国标仿宋" w:cs="国标仿宋"/>
          <w:color w:val="000000" w:themeColor="text1"/>
          <w:sz w:val="32"/>
          <w:szCs w:val="32"/>
          <w:lang w:eastAsia="zh-CN"/>
          <w14:textFill>
            <w14:solidFill>
              <w14:schemeClr w14:val="tx1"/>
            </w14:solidFill>
          </w14:textFill>
        </w:rPr>
      </w:pPr>
      <w:r>
        <w:rPr>
          <w:rFonts w:hint="eastAsia" w:ascii="国标仿宋" w:hAnsi="国标仿宋" w:eastAsia="国标仿宋" w:cs="国标仿宋"/>
          <w:color w:val="000000" w:themeColor="text1"/>
          <w:sz w:val="32"/>
          <w:szCs w:val="32"/>
          <w:lang w:eastAsia="zh-CN"/>
          <w14:textFill>
            <w14:solidFill>
              <w14:schemeClr w14:val="tx1"/>
            </w14:solidFill>
          </w14:textFill>
        </w:rPr>
        <w:t>（四）第四章附则，主要包括施行范围等两</w:t>
      </w:r>
      <w:r>
        <w:rPr>
          <w:rFonts w:hint="eastAsia" w:ascii="国标仿宋" w:hAnsi="国标仿宋" w:eastAsia="国标仿宋" w:cs="国标仿宋"/>
          <w:color w:val="000000" w:themeColor="text1"/>
          <w:sz w:val="32"/>
          <w:szCs w:val="32"/>
          <w:lang w:val="en-US" w:eastAsia="zh-CN"/>
          <w14:textFill>
            <w14:solidFill>
              <w14:schemeClr w14:val="tx1"/>
            </w14:solidFill>
          </w14:textFill>
        </w:rPr>
        <w:t>条内容</w:t>
      </w:r>
      <w:r>
        <w:rPr>
          <w:rFonts w:hint="eastAsia" w:ascii="国标仿宋" w:hAnsi="国标仿宋" w:eastAsia="国标仿宋" w:cs="国标仿宋"/>
          <w:color w:val="000000" w:themeColor="text1"/>
          <w:sz w:val="32"/>
          <w:szCs w:val="32"/>
          <w:lang w:eastAsia="zh-CN"/>
          <w14:textFill>
            <w14:solidFill>
              <w14:schemeClr w14:val="tx1"/>
            </w14:solidFill>
          </w14:textFill>
        </w:rPr>
        <w:t>。</w:t>
      </w:r>
    </w:p>
    <w:bookmarkEnd w:id="0"/>
    <w:p w14:paraId="2C208D09">
      <w:pPr>
        <w:keepNext w:val="0"/>
        <w:keepLines w:val="0"/>
        <w:pageBreakBefore w:val="0"/>
        <w:widowControl w:val="0"/>
        <w:kinsoku/>
        <w:wordWrap/>
        <w:overflowPunct/>
        <w:topLinePunct w:val="0"/>
        <w:autoSpaceDE/>
        <w:autoSpaceDN/>
        <w:bidi w:val="0"/>
        <w:adjustRightInd/>
        <w:snapToGrid/>
        <w:spacing w:line="570" w:lineRule="exact"/>
        <w:ind w:right="0" w:rightChars="0" w:firstLine="640" w:firstLineChars="200"/>
        <w:jc w:val="both"/>
        <w:textAlignment w:val="auto"/>
        <w:outlineLvl w:val="9"/>
        <w:rPr>
          <w:rFonts w:hint="eastAsia" w:ascii="国标仿宋" w:hAnsi="国标仿宋" w:eastAsia="国标仿宋" w:cs="国标仿宋"/>
          <w:color w:val="000000" w:themeColor="text1"/>
          <w:sz w:val="32"/>
          <w:szCs w:val="32"/>
          <w:u w:val="none"/>
          <w:lang w:val="en-US" w:eastAsia="zh-CN"/>
          <w14:textFill>
            <w14:solidFill>
              <w14:schemeClr w14:val="tx1"/>
            </w14:solidFill>
          </w14:textFill>
        </w:rPr>
      </w:pPr>
    </w:p>
    <w:p w14:paraId="50A4E850">
      <w:pPr>
        <w:keepNext w:val="0"/>
        <w:keepLines w:val="0"/>
        <w:pageBreakBefore w:val="0"/>
        <w:widowControl w:val="0"/>
        <w:kinsoku/>
        <w:wordWrap/>
        <w:overflowPunct/>
        <w:topLinePunct w:val="0"/>
        <w:autoSpaceDE/>
        <w:autoSpaceDN/>
        <w:bidi w:val="0"/>
        <w:adjustRightInd/>
        <w:snapToGrid/>
        <w:spacing w:line="570" w:lineRule="exact"/>
        <w:ind w:right="0" w:rightChars="0" w:firstLine="640" w:firstLineChars="200"/>
        <w:jc w:val="both"/>
        <w:textAlignment w:val="auto"/>
        <w:outlineLvl w:val="9"/>
        <w:rPr>
          <w:rFonts w:hint="eastAsia" w:ascii="国标仿宋" w:hAnsi="国标仿宋" w:eastAsia="国标仿宋" w:cs="国标仿宋"/>
          <w:color w:val="000000" w:themeColor="text1"/>
          <w:sz w:val="32"/>
          <w:szCs w:val="32"/>
          <w:lang w:eastAsia="zh-CN"/>
          <w14:textFill>
            <w14:solidFill>
              <w14:schemeClr w14:val="tx1"/>
            </w14:solidFill>
          </w14:textFill>
        </w:rPr>
      </w:pPr>
    </w:p>
    <w:p w14:paraId="3D0FA44D">
      <w:pPr>
        <w:keepNext w:val="0"/>
        <w:keepLines w:val="0"/>
        <w:pageBreakBefore w:val="0"/>
        <w:widowControl w:val="0"/>
        <w:kinsoku/>
        <w:wordWrap/>
        <w:overflowPunct/>
        <w:topLinePunct w:val="0"/>
        <w:autoSpaceDE/>
        <w:autoSpaceDN/>
        <w:bidi w:val="0"/>
        <w:adjustRightInd/>
        <w:snapToGrid/>
        <w:spacing w:line="570" w:lineRule="exact"/>
        <w:ind w:right="0" w:rightChars="0" w:firstLine="640" w:firstLineChars="200"/>
        <w:jc w:val="right"/>
        <w:textAlignment w:val="auto"/>
        <w:outlineLvl w:val="9"/>
        <w:rPr>
          <w:rFonts w:hint="eastAsia" w:ascii="国标仿宋" w:hAnsi="国标仿宋" w:eastAsia="国标仿宋" w:cs="国标仿宋"/>
          <w:color w:val="000000" w:themeColor="text1"/>
          <w:sz w:val="32"/>
          <w:szCs w:val="32"/>
          <w:lang w:eastAsia="zh-CN"/>
          <w14:textFill>
            <w14:solidFill>
              <w14:schemeClr w14:val="tx1"/>
            </w14:solidFill>
          </w14:textFill>
        </w:rPr>
      </w:pPr>
      <w:r>
        <w:rPr>
          <w:rFonts w:hint="eastAsia" w:ascii="国标仿宋" w:hAnsi="国标仿宋" w:eastAsia="国标仿宋" w:cs="国标仿宋"/>
          <w:color w:val="000000" w:themeColor="text1"/>
          <w:sz w:val="32"/>
          <w:szCs w:val="32"/>
          <w:lang w:eastAsia="zh-CN"/>
          <w14:textFill>
            <w14:solidFill>
              <w14:schemeClr w14:val="tx1"/>
            </w14:solidFill>
          </w14:textFill>
        </w:rPr>
        <w:t>亳州市自然资源和规划局</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国标黑体">
    <w:altName w:val="黑体"/>
    <w:panose1 w:val="02000500000000000000"/>
    <w:charset w:val="86"/>
    <w:family w:val="auto"/>
    <w:pitch w:val="default"/>
    <w:sig w:usb0="00000000" w:usb1="00000000" w:usb2="00000000" w:usb3="00000000" w:csb0="00040000" w:csb1="00000000"/>
  </w:font>
  <w:font w:name="国标仿宋">
    <w:altName w:val="仿宋"/>
    <w:panose1 w:val="02000500000000000000"/>
    <w:charset w:val="86"/>
    <w:family w:val="auto"/>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国标仿宋">
    <w:altName w:val="仿宋"/>
    <w:panose1 w:val="00000000000000000000"/>
    <w:charset w:val="00"/>
    <w:family w:val="auto"/>
    <w:pitch w:val="default"/>
    <w:sig w:usb0="00000000" w:usb1="00000000" w:usb2="00000000" w:usb3="00000000" w:csb0="00000000"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F3B79"/>
    <w:rsid w:val="2D7921AF"/>
    <w:rsid w:val="2F70039D"/>
    <w:rsid w:val="61D9573D"/>
    <w:rsid w:val="670206C0"/>
    <w:rsid w:val="77D50FD4"/>
    <w:rsid w:val="77E26F62"/>
    <w:rsid w:val="EF3AC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Calibri" w:asciiTheme="minorHAnsi" w:hAnsiTheme="minorHAnsi" w:eastAsiaTheme="minorEastAsia"/>
      <w:kern w:val="2"/>
      <w:sz w:val="21"/>
      <w:szCs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937</Words>
  <Characters>956</Characters>
  <Lines>0</Lines>
  <Paragraphs>0</Paragraphs>
  <TotalTime>1</TotalTime>
  <ScaleCrop>false</ScaleCrop>
  <LinksUpToDate>false</LinksUpToDate>
  <CharactersWithSpaces>957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2021-11-03T09:53:00Z</dcterms:created>
  <dc:creator>Administrator</dc:creator>
  <cp:lastModifiedBy>麦田里的守望者</cp:lastModifiedBy>
  <dcterms:modified xsi:type="dcterms:W3CDTF">2025-02-18T07:10:56Z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7472362C006A480FADF309A8417B8621_13</vt:lpwstr>
  </property>
  <property fmtid="{D5CDD505-2E9C-101B-9397-08002B2CF9AE}" pid="4" name="KSOTemplateDocerSaveRecord">
    <vt:lpwstr>eyJoZGlkIjoiNzcwMmNkZWQwMTVjMWQ4MjU0ZTk1ZWVlNDkwMGUwMDUiLCJ1c2VySWQiOiI1MzgzMjE1NDEifQ==</vt:lpwstr>
  </property>
</Properties>
</file>