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367F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关于住宅小区设置架空平台停车相关规划管理要求的通知</w:t>
      </w:r>
    </w:p>
    <w:p w14:paraId="428835C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K" w:hAnsi="方正仿宋_GBK" w:eastAsia="方正仿宋_GBK" w:cs="方正仿宋_GBK"/>
          <w:b w:val="0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 w:val="0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（征求意见稿）</w:t>
      </w:r>
    </w:p>
    <w:p w14:paraId="6BF41174">
      <w:pPr>
        <w:ind w:firstLine="640" w:firstLineChars="200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为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推动房地产高质量发展，建设安全舒适绿色智慧的“好房子”，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</w:rPr>
        <w:t>提升我市建设项目开发品质，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降低开发成本，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</w:rPr>
        <w:t>激发市场活力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结合我市实际，现就支持住宅小区架空平台停车相关规划管理要求通知如下：</w:t>
      </w:r>
      <w:bookmarkStart w:id="0" w:name="_GoBack"/>
      <w:bookmarkEnd w:id="0"/>
    </w:p>
    <w:p w14:paraId="4CF74BDD">
      <w:pPr>
        <w:numPr>
          <w:ilvl w:val="0"/>
          <w:numId w:val="1"/>
        </w:numPr>
        <w:ind w:firstLine="643" w:firstLineChars="200"/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定义及内容</w:t>
      </w:r>
    </w:p>
    <w:p w14:paraId="5EDB14CF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1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.架空平台停车:新建住宅项目利用底层(一层)架空平台进行停车的形式(详见附图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1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).</w:t>
      </w:r>
    </w:p>
    <w:p w14:paraId="4CD7AEE8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2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.架空平台可设置停车、公共服务设施、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市政设备设施、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公益性设施以及公共开放空间(详见附图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2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)。</w:t>
      </w:r>
    </w:p>
    <w:p w14:paraId="3C1B2528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000FF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3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.架空平台停车功能的水平投影面积不应小于其水平投影面积的 6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5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%。建筑楼座应与架空平台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统筹考虑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设计，架空平台上建筑基底面积占比不大于30%。</w:t>
      </w:r>
    </w:p>
    <w:p w14:paraId="2879D530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4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.架空平台上不应设置机动车停车位(消防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、医疗救护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等应急车辆除外)。</w:t>
      </w:r>
    </w:p>
    <w:p w14:paraId="47E7B10B">
      <w:pPr>
        <w:ind w:firstLine="643" w:firstLineChars="200"/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（二）适用范围</w:t>
      </w:r>
    </w:p>
    <w:p w14:paraId="141E2B5E">
      <w:pPr>
        <w:ind w:firstLine="640" w:firstLineChars="200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FF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该文件适用于建设工程设计方案尚未审批的项目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FF"/>
          <w:spacing w:val="0"/>
          <w:sz w:val="32"/>
          <w:szCs w:val="32"/>
          <w:u w:val="none"/>
          <w:shd w:val="clear" w:color="auto" w:fill="FFFFFF"/>
          <w:lang w:val="en-US" w:eastAsia="zh-CN"/>
        </w:rPr>
        <w:t>。</w:t>
      </w:r>
    </w:p>
    <w:p w14:paraId="27C05224">
      <w:pPr>
        <w:ind w:firstLine="643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（三）技术指标要求</w:t>
      </w:r>
    </w:p>
    <w:p w14:paraId="1CE8B48E">
      <w:pPr>
        <w:ind w:firstLine="643" w:firstLineChars="200"/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1.容积率</w:t>
      </w:r>
    </w:p>
    <w:p w14:paraId="3427533B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架空平台(含平台以下的主体建筑水平投影空间)建筑用作停车、无偿移交的公共服务设施、公益性设施以及公共开放空间时，其建筑面积可不计容积率，但需计入总建筑面积，除此之外的其他功能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按照原政策执行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。</w:t>
      </w:r>
    </w:p>
    <w:p w14:paraId="30E90050">
      <w:pPr>
        <w:ind w:firstLine="643" w:firstLineChars="200"/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2.计算基准面</w:t>
      </w:r>
    </w:p>
    <w:p w14:paraId="3D21A21F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架空平台范围以内以架空平台(含覆土)上皮作为室外地坪，并以此计算架空平台以内的建筑基底面积、建筑层数及建筑高度。架空平台范围以外按现行规划管理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相关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规定执行。</w:t>
      </w:r>
    </w:p>
    <w:p w14:paraId="2A78F5DD">
      <w:pPr>
        <w:ind w:firstLine="643" w:firstLineChars="200"/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3.架空平台限高</w:t>
      </w:r>
    </w:p>
    <w:p w14:paraId="4728BC73">
      <w:pPr>
        <w:ind w:firstLine="640" w:firstLineChars="200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架空平台室外地坪不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宜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高于周边城市道路6m，平台的防护栏杆、墙体等上皮不宜高于周边城市道路7.5m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。</w:t>
      </w:r>
    </w:p>
    <w:p w14:paraId="3DE51D75">
      <w:pPr>
        <w:numPr>
          <w:ilvl w:val="0"/>
          <w:numId w:val="0"/>
        </w:numPr>
        <w:ind w:firstLine="643" w:firstLineChars="200"/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4.建筑退让</w:t>
      </w:r>
    </w:p>
    <w:p w14:paraId="3F5CAEE0">
      <w:pPr>
        <w:ind w:firstLine="640" w:firstLineChars="200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架空平台宜集中设置，宜按多层建筑退让用地红线。</w:t>
      </w:r>
    </w:p>
    <w:p w14:paraId="3250D351">
      <w:pPr>
        <w:numPr>
          <w:ilvl w:val="0"/>
          <w:numId w:val="0"/>
        </w:numPr>
        <w:ind w:firstLine="622" w:firstLineChars="200"/>
        <w:rPr>
          <w:rFonts w:hint="eastAsia" w:ascii="仿宋_GB2312" w:hAnsi="Times New Roman" w:eastAsia="仿宋_GB2312" w:cs="仿宋_GB2312"/>
          <w:b/>
          <w:bCs/>
          <w:i w:val="0"/>
          <w:iCs w:val="0"/>
          <w:caps w:val="0"/>
          <w:color w:val="3D3D3D"/>
          <w:spacing w:val="0"/>
          <w:sz w:val="31"/>
          <w:szCs w:val="31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b/>
          <w:bCs/>
          <w:i w:val="0"/>
          <w:iCs w:val="0"/>
          <w:caps w:val="0"/>
          <w:color w:val="3D3D3D"/>
          <w:spacing w:val="0"/>
          <w:sz w:val="31"/>
          <w:szCs w:val="31"/>
          <w:shd w:val="clear" w:color="auto" w:fill="FFFFFF"/>
          <w:lang w:val="en-US" w:eastAsia="zh-CN"/>
        </w:rPr>
        <w:t>5.绿地率</w:t>
      </w:r>
    </w:p>
    <w:p w14:paraId="197D145E">
      <w:p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绿地率为架空平台范围内外绿地面积之和与用地面积的比值。</w:t>
      </w:r>
    </w:p>
    <w:p w14:paraId="11DE340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3" w:firstLineChars="200"/>
        <w:jc w:val="both"/>
        <w:rPr>
          <w:rFonts w:hint="default" w:ascii="仿宋_GB2312" w:hAnsi="Times New Roman" w:eastAsia="仿宋_GB2312" w:cs="仿宋_GB2312"/>
          <w:i w:val="0"/>
          <w:iCs w:val="0"/>
          <w:caps w:val="0"/>
          <w:color w:val="3D3D3D"/>
          <w:spacing w:val="0"/>
          <w:sz w:val="31"/>
          <w:szCs w:val="31"/>
          <w:shd w:val="clear" w:color="auto" w:fill="FFFFFF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6.</w:t>
      </w:r>
      <w:r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城市界面空间管控要求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3D3D3D"/>
          <w:spacing w:val="0"/>
          <w:sz w:val="31"/>
          <w:szCs w:val="31"/>
          <w:shd w:val="clear" w:color="auto" w:fill="FFFFFF"/>
        </w:rPr>
        <w:t>：</w:t>
      </w:r>
    </w:p>
    <w:p w14:paraId="3281FA13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（1）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架空平台沿城市界面及开放性社区道路应设置公共使用功能、公共开放空间或进行绿化景观处理，营造友好、美观、有活力的城市界面，不得设置连续大面积墙体；</w:t>
      </w:r>
    </w:p>
    <w:p w14:paraId="7CDF502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（2）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架空平台临近既有住宅界面，应协调相互关系，减少对既有住宅噪声、光线及视觉干扰等影响。</w:t>
      </w:r>
    </w:p>
    <w:p w14:paraId="65F3B700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3" w:firstLineChars="200"/>
        <w:jc w:val="both"/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7.</w:t>
      </w:r>
      <w:r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公共服务设施布置要求</w:t>
      </w:r>
    </w:p>
    <w:p w14:paraId="357BFDC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(1)设置架空平台的住宅小区，涉及配建的公用开闭所、配电房、备用发电机房等供配电设施用房，垃圾集中投放点、通讯机房、消防控制室等市政配套设施应与架空平台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统筹考虑</w:t>
      </w: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设计。</w:t>
      </w:r>
    </w:p>
    <w:p w14:paraId="441ACC3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(2)有防涝要求的配套设施用房，不应设在地势低洼和可能积水的场所，并高于当地防涝用地高程。</w:t>
      </w:r>
    </w:p>
    <w:p w14:paraId="73E7ECC1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000FF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(3)利用架空平台设置的养老用房、托育等各项公共服务设施应布置在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位置较好区域，满足通风、日照采光要求。</w:t>
      </w:r>
    </w:p>
    <w:p w14:paraId="39DFCE2D">
      <w:pPr>
        <w:numPr>
          <w:ilvl w:val="0"/>
          <w:numId w:val="0"/>
        </w:numPr>
        <w:ind w:firstLine="643" w:firstLineChars="200"/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8.</w:t>
      </w:r>
      <w:r>
        <w:rPr>
          <w:rFonts w:hint="default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人防计算要求</w:t>
      </w:r>
    </w:p>
    <w:p w14:paraId="14CCC281">
      <w:pPr>
        <w:numPr>
          <w:ilvl w:val="0"/>
          <w:numId w:val="0"/>
        </w:numPr>
        <w:ind w:firstLine="640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建筑物应建人防工程面积以地面总建筑面积为计算基数。</w:t>
      </w:r>
    </w:p>
    <w:p w14:paraId="2C1324EF">
      <w:pPr>
        <w:ind w:firstLine="643" w:firstLineChars="200"/>
        <w:rPr>
          <w:rFonts w:hint="default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i w:val="0"/>
          <w:iCs w:val="0"/>
          <w:caps w:val="0"/>
          <w:color w:val="333333"/>
          <w:spacing w:val="0"/>
          <w:sz w:val="32"/>
          <w:szCs w:val="32"/>
          <w:u w:val="none"/>
          <w:shd w:val="clear" w:color="auto" w:fill="FFFFFF"/>
          <w:lang w:val="en-US" w:eastAsia="zh-CN"/>
        </w:rPr>
        <w:t>（四）其他事项</w:t>
      </w:r>
    </w:p>
    <w:p w14:paraId="0BD3C697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1.本通知自2025年  月  日市自然资源和规划管理委员会第   次主任办公会研究通过后立即试行，以市自然资源和规划管理委员会名义印发试行，有效期2年。</w:t>
      </w:r>
    </w:p>
    <w:p w14:paraId="0C6003EC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/>
        <w:ind w:right="0" w:rightChars="0" w:firstLine="640" w:firstLineChars="200"/>
        <w:jc w:val="both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333333"/>
          <w:spacing w:val="0"/>
          <w:kern w:val="2"/>
          <w:sz w:val="32"/>
          <w:szCs w:val="32"/>
          <w:u w:val="none"/>
          <w:shd w:val="clear" w:color="auto" w:fill="FFFFFF"/>
          <w:lang w:val="en-US" w:eastAsia="zh-CN" w:bidi="ar-SA"/>
        </w:rPr>
        <w:t>2.其他未尽事宜，按照国家、省和市相关规定及技术规范执行。</w:t>
      </w:r>
    </w:p>
    <w:p w14:paraId="35522934">
      <w:pPr>
        <w:numPr>
          <w:ilvl w:val="0"/>
          <w:numId w:val="0"/>
        </w:numPr>
        <w:ind w:firstLine="620" w:firstLineChars="200"/>
        <w:rPr>
          <w:rFonts w:hint="eastAsia" w:ascii="仿宋_GB2312" w:eastAsia="仿宋_GB2312" w:cs="仿宋_GB2312" w:hAnsiTheme="minorHAnsi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12D521DE">
      <w:pPr>
        <w:numPr>
          <w:ilvl w:val="0"/>
          <w:numId w:val="0"/>
        </w:numPr>
        <w:rPr>
          <w:rFonts w:hint="eastAsia" w:ascii="仿宋_GB2312" w:eastAsia="仿宋_GB2312" w:cs="仿宋_GB2312" w:hAnsiTheme="minorHAnsi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3F5E9D87">
      <w:pPr>
        <w:numPr>
          <w:ilvl w:val="0"/>
          <w:numId w:val="0"/>
        </w:numPr>
        <w:ind w:firstLine="620" w:firstLineChars="200"/>
        <w:rPr>
          <w:rFonts w:hint="eastAsia" w:ascii="仿宋_GB2312" w:eastAsia="仿宋_GB2312" w:cs="仿宋_GB2312" w:hAnsiTheme="minorHAnsi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5A5569FA">
      <w:pPr>
        <w:numPr>
          <w:ilvl w:val="0"/>
          <w:numId w:val="0"/>
        </w:numPr>
        <w:rPr>
          <w:rFonts w:hint="eastAsia" w:ascii="仿宋_GB2312" w:eastAsia="仿宋_GB2312" w:cs="仿宋_GB2312"/>
          <w:b/>
          <w:bCs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b/>
          <w:bCs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t>附图1：</w:t>
      </w:r>
    </w:p>
    <w:p w14:paraId="14D36A49">
      <w:pPr>
        <w:numPr>
          <w:ilvl w:val="0"/>
          <w:numId w:val="0"/>
        </w:numPr>
        <w:jc w:val="center"/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drawing>
          <wp:inline distT="0" distB="0" distL="114300" distR="114300">
            <wp:extent cx="3317240" cy="2362200"/>
            <wp:effectExtent l="0" t="0" r="16510" b="0"/>
            <wp:docPr id="3" name="图片 3" descr="9ed9dd87-bc5d-4237-ab14-110963b08d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ed9dd87-bc5d-4237-ab14-110963b08d59"/>
                    <pic:cNvPicPr>
                      <a:picLocks noChangeAspect="1"/>
                    </pic:cNvPicPr>
                  </pic:nvPicPr>
                  <pic:blipFill>
                    <a:blip r:embed="rId5"/>
                    <a:srcRect r="-131" b="17348"/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565B6">
      <w:pPr>
        <w:numPr>
          <w:ilvl w:val="0"/>
          <w:numId w:val="0"/>
        </w:numP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1F925916">
      <w:pPr>
        <w:numPr>
          <w:ilvl w:val="0"/>
          <w:numId w:val="0"/>
        </w:numP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drawing>
          <wp:inline distT="0" distB="0" distL="114300" distR="114300">
            <wp:extent cx="5272405" cy="4662170"/>
            <wp:effectExtent l="0" t="0" r="4445" b="5080"/>
            <wp:docPr id="4" name="图片 4" descr="a57d220801ede40bbe47f467b5fce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57d220801ede40bbe47f467b5fce17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66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16326">
      <w:pPr>
        <w:numPr>
          <w:ilvl w:val="0"/>
          <w:numId w:val="0"/>
        </w:numP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61024A71">
      <w:pPr>
        <w:numPr>
          <w:ilvl w:val="0"/>
          <w:numId w:val="0"/>
        </w:numPr>
        <w:rPr>
          <w:rFonts w:hint="eastAsia" w:ascii="仿宋_GB2312" w:eastAsia="仿宋_GB2312" w:cs="仿宋_GB2312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</w:p>
    <w:p w14:paraId="631A2893">
      <w:pPr>
        <w:numPr>
          <w:ilvl w:val="0"/>
          <w:numId w:val="0"/>
        </w:numPr>
        <w:rPr>
          <w:rFonts w:hint="default" w:ascii="仿宋_GB2312" w:eastAsia="仿宋_GB2312" w:cs="仿宋_GB2312"/>
          <w:b/>
          <w:bCs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b/>
          <w:bCs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t>附图2：</w:t>
      </w:r>
    </w:p>
    <w:p w14:paraId="273826B7">
      <w:pPr>
        <w:numPr>
          <w:ilvl w:val="0"/>
          <w:numId w:val="0"/>
        </w:numPr>
        <w:rPr>
          <w:rFonts w:hint="default" w:ascii="仿宋_GB2312" w:eastAsia="仿宋_GB2312" w:cs="仿宋_GB2312" w:hAnsiTheme="minorHAnsi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default" w:ascii="仿宋_GB2312" w:eastAsia="仿宋_GB2312" w:cs="仿宋_GB2312" w:hAnsiTheme="minorHAnsi"/>
          <w:i w:val="0"/>
          <w:iCs w:val="0"/>
          <w:caps w:val="0"/>
          <w:color w:val="3D3D3D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drawing>
          <wp:inline distT="0" distB="0" distL="114300" distR="114300">
            <wp:extent cx="5997575" cy="3909060"/>
            <wp:effectExtent l="0" t="0" r="0" b="0"/>
            <wp:docPr id="2" name="图片 2" descr="eba949bb-7e79-44e8-b55d-8f0a6f248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ba949bb-7e79-44e8-b55d-8f0a6f248183"/>
                    <pic:cNvPicPr>
                      <a:picLocks noChangeAspect="1"/>
                    </pic:cNvPicPr>
                  </pic:nvPicPr>
                  <pic:blipFill>
                    <a:blip r:embed="rId7"/>
                    <a:srcRect l="15940" t="388"/>
                    <a:stretch>
                      <a:fillRect/>
                    </a:stretch>
                  </pic:blipFill>
                  <pic:spPr>
                    <a:xfrm>
                      <a:off x="0" y="0"/>
                      <a:ext cx="5997575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8F50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07263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07263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FFBBEE"/>
    <w:multiLevelType w:val="singleLevel"/>
    <w:tmpl w:val="55FFBBE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F5B38"/>
    <w:rsid w:val="188B2D8E"/>
    <w:rsid w:val="19430BFA"/>
    <w:rsid w:val="1B595246"/>
    <w:rsid w:val="233F7D0F"/>
    <w:rsid w:val="387410B6"/>
    <w:rsid w:val="3A9F0215"/>
    <w:rsid w:val="40144853"/>
    <w:rsid w:val="50331F5A"/>
    <w:rsid w:val="6AD97A0D"/>
    <w:rsid w:val="71C4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1086</Words>
  <Characters>1120</Characters>
  <Lines>0</Lines>
  <Paragraphs>0</Paragraphs>
  <TotalTime>8</TotalTime>
  <ScaleCrop>false</ScaleCrop>
  <LinksUpToDate>false</LinksUpToDate>
  <CharactersWithSpaces>1128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2025-10-15T01:13:00Z</dcterms:created>
  <dc:creator>Administrator</dc:creator>
  <cp:lastModifiedBy>卜鹏程</cp:lastModifiedBy>
  <cp:lastPrinted>2025-10-21T08:56:00Z</cp:lastPrinted>
  <dcterms:modified xsi:type="dcterms:W3CDTF">2025-10-30T03:14:42Z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eyJoZGlkIjoiMmZjYjU1M2Q0MTUyOTFmOWFmYjNhODExZDc5YTkxYmIiLCJ1c2VySWQiOiIyOTE3MjE5MDAifQ==</vt:lpwstr>
  </property>
  <property fmtid="{D5CDD505-2E9C-101B-9397-08002B2CF9AE}" pid="4" name="ICV">
    <vt:lpwstr>F96CC212DE794C2B9449E10596174595_13</vt:lpwstr>
  </property>
</Properties>
</file>