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D3C0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distribute"/>
        <w:textAlignment w:val="auto"/>
        <w:outlineLvl w:val="9"/>
        <w:rPr>
          <w:rFonts w:hint="eastAsia" w:ascii="方正小标宋简体" w:hAnsi="方正小标宋简体" w:eastAsia="方正小标宋简体" w:cs="方正小标宋简体"/>
          <w:color w:val="FF0000"/>
          <w:w w:val="60"/>
          <w:sz w:val="96"/>
          <w:szCs w:val="96"/>
        </w:rPr>
      </w:pPr>
    </w:p>
    <w:p w14:paraId="70084EAB">
      <w:pPr>
        <w:spacing w:line="1520" w:lineRule="exact"/>
        <w:jc w:val="distribute"/>
        <w:rPr>
          <w:rFonts w:hint="eastAsia" w:ascii="方正小标宋简体" w:hAnsi="方正小标宋简体" w:eastAsia="方正小标宋简体" w:cs="方正小标宋简体"/>
          <w:color w:val="0D0D0D" w:themeColor="text1" w:themeTint="F2"/>
          <w:w w:val="60"/>
          <w:sz w:val="96"/>
          <w:szCs w:val="96"/>
          <w14:textFill>
            <w14:solidFill>
              <w14:schemeClr w14:val="tx1">
                <w14:lumMod w14:val="95000"/>
                <w14:lumOff w14:val="5000"/>
              </w14:schemeClr>
            </w14:solidFill>
          </w14:textFill>
        </w:rPr>
      </w:pPr>
      <w:r>
        <w:rPr>
          <w:rFonts w:hint="eastAsia" w:ascii="方正小标宋简体" w:hAnsi="方正小标宋简体" w:eastAsia="方正小标宋简体" w:cs="方正小标宋简体"/>
          <w:color w:val="0D0D0D" w:themeColor="text1" w:themeTint="F2"/>
          <w:w w:val="60"/>
          <w:sz w:val="96"/>
          <w:szCs w:val="96"/>
          <w14:textFill>
            <w14:solidFill>
              <w14:schemeClr w14:val="tx1">
                <w14:lumMod w14:val="95000"/>
                <w14:lumOff w14:val="5000"/>
              </w14:schemeClr>
            </w14:solidFill>
          </w14:textFill>
        </w:rPr>
        <w:t>亳州市自然资源和规划管理委员会</w:t>
      </w:r>
    </w:p>
    <w:p w14:paraId="74F5DF7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方正小标宋简体" w:hAnsi="方正小标宋简体" w:eastAsia="方正小标宋简体" w:cs="方正小标宋简体"/>
          <w:color w:val="0D0D0D" w:themeColor="text1" w:themeTint="F2"/>
          <w:w w:val="85"/>
          <w:sz w:val="32"/>
          <w:szCs w:val="32"/>
          <w14:textFill>
            <w14:solidFill>
              <w14:schemeClr w14:val="tx1">
                <w14:lumMod w14:val="95000"/>
                <w14:lumOff w14:val="5000"/>
              </w14:schemeClr>
            </w14:solidFill>
          </w14:textFill>
        </w:rPr>
      </w:pPr>
    </w:p>
    <w:p w14:paraId="42F946BE">
      <w:pPr>
        <w:pStyle w:val="5"/>
        <w:keepNext w:val="0"/>
        <w:keepLines w:val="0"/>
        <w:pageBreakBefore w:val="0"/>
        <w:widowControl w:val="0"/>
        <w:kinsoku/>
        <w:wordWrap/>
        <w:overflowPunct/>
        <w:topLinePunct w:val="0"/>
        <w:autoSpaceDE/>
        <w:autoSpaceDN/>
        <w:bidi w:val="0"/>
        <w:adjustRightInd w:val="0"/>
        <w:snapToGrid w:val="0"/>
        <w:spacing w:before="176" w:beforeLines="30" w:after="0" w:line="400" w:lineRule="exact"/>
        <w:ind w:left="0" w:leftChars="0" w:right="23" w:rightChars="11" w:firstLine="0" w:firstLineChars="0"/>
        <w:jc w:val="center"/>
        <w:textAlignment w:val="auto"/>
        <w:outlineLvl w:val="9"/>
        <w:rPr>
          <w:rStyle w:val="24"/>
          <w:rFonts w:hint="eastAsia" w:ascii="楷体_GB2312" w:hAnsi="楷体_GB2312" w:eastAsia="楷体_GB2312" w:cs="楷体_GB2312"/>
          <w:color w:val="0D0D0D" w:themeColor="text1" w:themeTint="F2"/>
          <w:kern w:val="0"/>
          <w:sz w:val="32"/>
          <w:szCs w:val="32"/>
          <w:lang w:val="en-US" w:eastAsia="zh-CN" w:bidi="ar"/>
          <w14:textFill>
            <w14:solidFill>
              <w14:schemeClr w14:val="tx1">
                <w14:lumMod w14:val="95000"/>
                <w14:lumOff w14:val="5000"/>
              </w14:schemeClr>
            </w14:solidFill>
          </w14:textFill>
        </w:rPr>
      </w:pPr>
      <w:r>
        <w:rPr>
          <w:rStyle w:val="24"/>
          <w:rFonts w:hint="eastAsia" w:ascii="楷体_GB2312" w:hAnsi="楷体_GB2312" w:eastAsia="楷体_GB2312" w:cs="楷体_GB2312"/>
          <w:color w:val="0D0D0D" w:themeColor="text1" w:themeTint="F2"/>
          <w:kern w:val="0"/>
          <w:sz w:val="32"/>
          <w:szCs w:val="32"/>
          <w:lang w:val="en-US" w:eastAsia="zh-CN" w:bidi="ar"/>
          <w14:textFill>
            <w14:solidFill>
              <w14:schemeClr w14:val="tx1">
                <w14:lumMod w14:val="95000"/>
                <w14:lumOff w14:val="5000"/>
              </w14:schemeClr>
            </w14:solidFill>
          </w14:textFill>
        </w:rPr>
        <w:t>亳资规管</w:t>
      </w:r>
      <w:r>
        <w:rPr>
          <w:rFonts w:hint="eastAsia" w:ascii="方正隶书_GBK" w:hAnsi="方正隶书_GBK" w:eastAsia="方正隶书_GBK" w:cs="方正隶书_GBK"/>
          <w:color w:val="0D0D0D" w:themeColor="text1" w:themeTint="F2"/>
          <w:kern w:val="21"/>
          <w:sz w:val="32"/>
          <w:szCs w:val="32"/>
          <w:lang w:val="en-US" w:eastAsia="zh-CN"/>
          <w14:textFill>
            <w14:solidFill>
              <w14:schemeClr w14:val="tx1">
                <w14:lumMod w14:val="95000"/>
                <w14:lumOff w14:val="5000"/>
              </w14:schemeClr>
            </w14:solidFill>
          </w14:textFill>
        </w:rPr>
        <w:t>〔</w:t>
      </w:r>
      <w:r>
        <w:rPr>
          <w:rFonts w:hint="eastAsia" w:ascii="楷体_GB2312" w:hAnsi="楷体_GB2312" w:eastAsia="楷体_GB2312" w:cs="楷体_GB2312"/>
          <w:color w:val="0D0D0D" w:themeColor="text1" w:themeTint="F2"/>
          <w:kern w:val="21"/>
          <w:sz w:val="32"/>
          <w:szCs w:val="32"/>
          <w:lang w:val="en-US" w:eastAsia="zh-CN"/>
          <w14:textFill>
            <w14:solidFill>
              <w14:schemeClr w14:val="tx1">
                <w14:lumMod w14:val="95000"/>
                <w14:lumOff w14:val="5000"/>
              </w14:schemeClr>
            </w14:solidFill>
          </w14:textFill>
        </w:rPr>
        <w:t>2025</w:t>
      </w:r>
      <w:r>
        <w:rPr>
          <w:rFonts w:hint="eastAsia" w:ascii="方正隶书_GBK" w:hAnsi="方正隶书_GBK" w:eastAsia="方正隶书_GBK" w:cs="方正隶书_GBK"/>
          <w:color w:val="0D0D0D" w:themeColor="text1" w:themeTint="F2"/>
          <w:kern w:val="21"/>
          <w:sz w:val="32"/>
          <w:szCs w:val="32"/>
          <w:lang w:val="en-US" w:eastAsia="zh-CN"/>
          <w14:textFill>
            <w14:solidFill>
              <w14:schemeClr w14:val="tx1">
                <w14:lumMod w14:val="95000"/>
                <w14:lumOff w14:val="5000"/>
              </w14:schemeClr>
            </w14:solidFill>
          </w14:textFill>
        </w:rPr>
        <w:t>〕</w:t>
      </w:r>
      <w:r>
        <w:rPr>
          <w:rFonts w:hint="eastAsia" w:ascii="楷体_GB2312" w:hAnsi="楷体_GB2312" w:eastAsia="楷体_GB2312" w:cs="楷体_GB2312"/>
          <w:color w:val="0D0D0D" w:themeColor="text1" w:themeTint="F2"/>
          <w:kern w:val="21"/>
          <w:sz w:val="32"/>
          <w:szCs w:val="32"/>
          <w:lang w:val="en-US" w:eastAsia="zh-CN"/>
          <w14:textFill>
            <w14:solidFill>
              <w14:schemeClr w14:val="tx1">
                <w14:lumMod w14:val="95000"/>
                <w14:lumOff w14:val="5000"/>
              </w14:schemeClr>
            </w14:solidFill>
          </w14:textFill>
        </w:rPr>
        <w:t>2号</w:t>
      </w:r>
    </w:p>
    <w:p w14:paraId="758EBDC3">
      <w:pPr>
        <w:keepNext w:val="0"/>
        <w:keepLines w:val="0"/>
        <w:pageBreakBefore w:val="0"/>
        <w:widowControl w:val="0"/>
        <w:kinsoku/>
        <w:wordWrap/>
        <w:overflowPunct/>
        <w:topLinePunct w:val="0"/>
        <w:autoSpaceDE/>
        <w:autoSpaceDN/>
        <w:bidi w:val="0"/>
        <w:adjustRightInd/>
        <w:snapToGrid/>
        <w:spacing w:line="280" w:lineRule="exact"/>
        <w:jc w:val="left"/>
        <w:textAlignment w:val="auto"/>
        <w:outlineLvl w:val="9"/>
        <w:rPr>
          <w:rFonts w:ascii="方正小标宋简体" w:hAnsi="方正小标宋简体" w:eastAsia="方正小标宋简体" w:cs="方正小标宋简体"/>
          <w:color w:val="0D0D0D" w:themeColor="text1" w:themeTint="F2"/>
          <w:sz w:val="96"/>
          <w:szCs w:val="96"/>
          <w14:textFill>
            <w14:solidFill>
              <w14:schemeClr w14:val="tx1">
                <w14:lumMod w14:val="95000"/>
                <w14:lumOff w14:val="5000"/>
              </w14:schemeClr>
            </w14:solidFill>
          </w14:textFill>
        </w:rPr>
      </w:pPr>
      <w:r>
        <w:rPr>
          <w:rFonts w:hint="eastAsia" w:ascii="方正小标宋简体" w:hAnsi="方正小标宋简体" w:eastAsia="方正小标宋简体" w:cs="方正小标宋简体"/>
          <w:b/>
          <w:bCs/>
          <w:color w:val="0D0D0D" w:themeColor="text1" w:themeTint="F2"/>
          <w:sz w:val="96"/>
          <w:szCs w:val="96"/>
          <w:u w:val="single"/>
          <w14:textFill>
            <w14:solidFill>
              <w14:schemeClr w14:val="tx1">
                <w14:lumMod w14:val="95000"/>
                <w14:lumOff w14:val="5000"/>
              </w14:schemeClr>
            </w14:solidFill>
          </w14:textFill>
        </w:rPr>
        <w:t xml:space="preserve">          </w:t>
      </w:r>
      <w:r>
        <w:rPr>
          <w:rFonts w:hint="eastAsia" w:ascii="方正小标宋简体" w:hAnsi="方正小标宋简体" w:eastAsia="方正小标宋简体" w:cs="方正小标宋简体"/>
          <w:color w:val="0D0D0D" w:themeColor="text1" w:themeTint="F2"/>
          <w:sz w:val="96"/>
          <w:szCs w:val="96"/>
          <w:u w:val="single"/>
          <w14:textFill>
            <w14:solidFill>
              <w14:schemeClr w14:val="tx1">
                <w14:lumMod w14:val="95000"/>
                <w14:lumOff w14:val="5000"/>
              </w14:schemeClr>
            </w14:solidFill>
          </w14:textFill>
        </w:rPr>
        <w:t xml:space="preserve">      </w:t>
      </w:r>
      <w:r>
        <w:rPr>
          <w:rFonts w:hint="eastAsia" w:ascii="方正小标宋简体" w:hAnsi="方正小标宋简体" w:eastAsia="方正小标宋简体" w:cs="方正小标宋简体"/>
          <w:color w:val="0D0D0D" w:themeColor="text1" w:themeTint="F2"/>
          <w:sz w:val="96"/>
          <w:szCs w:val="96"/>
          <w:u w:val="single"/>
          <w:lang w:val="en-US" w:eastAsia="zh-CN"/>
          <w14:textFill>
            <w14:solidFill>
              <w14:schemeClr w14:val="tx1">
                <w14:lumMod w14:val="95000"/>
                <w14:lumOff w14:val="5000"/>
              </w14:schemeClr>
            </w14:solidFill>
          </w14:textFill>
        </w:rPr>
        <w:t xml:space="preserve"> </w:t>
      </w:r>
      <w:r>
        <w:rPr>
          <w:rFonts w:hint="eastAsia" w:ascii="方正小标宋简体" w:hAnsi="方正小标宋简体" w:eastAsia="方正小标宋简体" w:cs="方正小标宋简体"/>
          <w:color w:val="0D0D0D" w:themeColor="text1" w:themeTint="F2"/>
          <w:sz w:val="96"/>
          <w:szCs w:val="96"/>
          <w:u w:val="single"/>
          <w14:textFill>
            <w14:solidFill>
              <w14:schemeClr w14:val="tx1">
                <w14:lumMod w14:val="95000"/>
                <w14:lumOff w14:val="5000"/>
              </w14:schemeClr>
            </w14:solidFill>
          </w14:textFill>
        </w:rPr>
        <w:t xml:space="preserve">  </w:t>
      </w:r>
    </w:p>
    <w:p w14:paraId="0D78D5E5">
      <w:pPr>
        <w:pStyle w:val="5"/>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textAlignment w:val="auto"/>
        <w:outlineLvl w:val="9"/>
        <w:rPr>
          <w:rStyle w:val="24"/>
          <w:rFonts w:hint="default" w:ascii="Times New Roman" w:hAnsi="Times New Roman" w:eastAsia="方正楷体_GBK" w:cs="Times New Roman"/>
          <w:kern w:val="0"/>
          <w:sz w:val="32"/>
          <w:szCs w:val="32"/>
          <w:lang w:val="en-US" w:eastAsia="zh-CN" w:bidi="ar"/>
        </w:rPr>
      </w:pPr>
    </w:p>
    <w:p w14:paraId="6BF48D90">
      <w:pPr>
        <w:pStyle w:val="6"/>
        <w:rPr>
          <w:rFonts w:hint="default"/>
          <w:lang w:val="en-US" w:eastAsia="zh-CN"/>
        </w:rPr>
      </w:pPr>
    </w:p>
    <w:p w14:paraId="2B93A09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亳州市自然资源和规划管理委员会</w:t>
      </w:r>
    </w:p>
    <w:p w14:paraId="3484941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关于印发《亳州市立体生态住宅规划建设试点</w:t>
      </w:r>
    </w:p>
    <w:p w14:paraId="58AE734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指导意见》的通知</w:t>
      </w:r>
    </w:p>
    <w:p w14:paraId="6738409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K" w:hAnsi="方正仿宋_GBK" w:eastAsia="方正仿宋_GBK" w:cs="方正仿宋_GBK"/>
          <w:color w:val="auto"/>
          <w:kern w:val="0"/>
          <w:sz w:val="32"/>
          <w:szCs w:val="32"/>
          <w:lang w:val="en-US" w:eastAsia="zh-CN"/>
        </w:rPr>
      </w:pPr>
    </w:p>
    <w:p w14:paraId="34BDEC2C">
      <w:pPr>
        <w:keepNext w:val="0"/>
        <w:keepLines w:val="0"/>
        <w:pageBreakBefore w:val="0"/>
        <w:widowControl w:val="0"/>
        <w:kinsoku/>
        <w:wordWrap/>
        <w:overflowPunct/>
        <w:topLinePunct w:val="0"/>
        <w:autoSpaceDN/>
        <w:bidi w:val="0"/>
        <w:adjustRightInd/>
        <w:snapToGrid/>
        <w:spacing w:line="60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各成员单位：</w:t>
      </w:r>
    </w:p>
    <w:p w14:paraId="6918829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w:t>
      </w:r>
      <w:r>
        <w:rPr>
          <w:rFonts w:hint="eastAsia" w:ascii="方正仿宋_GBK" w:hAnsi="方正仿宋_GBK" w:eastAsia="方正仿宋_GBK" w:cs="方正仿宋_GBK"/>
          <w:sz w:val="32"/>
          <w:szCs w:val="32"/>
          <w:lang w:val="en-US" w:eastAsia="zh-CN"/>
        </w:rPr>
        <w:t>亳州市立体生态住宅规划建设试点指导意见</w:t>
      </w:r>
      <w:r>
        <w:rPr>
          <w:rFonts w:hint="default" w:ascii="Times New Roman" w:hAnsi="Times New Roman" w:eastAsia="方正仿宋_GBK" w:cs="Times New Roman"/>
          <w:sz w:val="32"/>
          <w:szCs w:val="32"/>
          <w:lang w:eastAsia="zh-CN"/>
        </w:rPr>
        <w:t>》已经市自然资源和规划管理委员会</w:t>
      </w:r>
      <w:r>
        <w:rPr>
          <w:rFonts w:hint="default" w:ascii="Times New Roman" w:hAnsi="Times New Roman" w:eastAsia="方正仿宋_GBK" w:cs="Times New Roman"/>
          <w:sz w:val="32"/>
          <w:szCs w:val="32"/>
          <w:lang w:val="en-US" w:eastAsia="zh-CN"/>
        </w:rPr>
        <w:t>2025年第</w:t>
      </w:r>
      <w:r>
        <w:rPr>
          <w:rFonts w:hint="eastAsia" w:ascii="Times New Roman" w:hAnsi="Times New Roman" w:eastAsia="方正仿宋_GBK" w:cs="Times New Roman"/>
          <w:sz w:val="32"/>
          <w:szCs w:val="32"/>
          <w:lang w:val="en-US" w:eastAsia="zh-CN"/>
        </w:rPr>
        <w:t>10</w:t>
      </w:r>
      <w:r>
        <w:rPr>
          <w:rFonts w:hint="default" w:ascii="Times New Roman" w:hAnsi="Times New Roman" w:eastAsia="方正仿宋_GBK" w:cs="Times New Roman"/>
          <w:sz w:val="32"/>
          <w:szCs w:val="32"/>
          <w:lang w:val="en-US" w:eastAsia="zh-CN"/>
        </w:rPr>
        <w:t>次主任办公会</w:t>
      </w:r>
      <w:r>
        <w:rPr>
          <w:rFonts w:hint="default" w:ascii="Times New Roman" w:hAnsi="Times New Roman" w:eastAsia="方正仿宋_GBK" w:cs="Times New Roman"/>
          <w:sz w:val="32"/>
          <w:szCs w:val="32"/>
          <w:lang w:eastAsia="zh-CN"/>
        </w:rPr>
        <w:t>研究通过，现予印发，请认真贯彻执行。</w:t>
      </w:r>
      <w:bookmarkStart w:id="2" w:name="_GoBack"/>
      <w:bookmarkEnd w:id="2"/>
    </w:p>
    <w:p w14:paraId="6712C944">
      <w:pPr>
        <w:keepNext w:val="0"/>
        <w:keepLines w:val="0"/>
        <w:pageBreakBefore w:val="0"/>
        <w:widowControl w:val="0"/>
        <w:kinsoku/>
        <w:wordWrap/>
        <w:overflowPunct/>
        <w:topLinePunct w:val="0"/>
        <w:autoSpaceDN/>
        <w:bidi w:val="0"/>
        <w:adjustRightInd/>
        <w:snapToGrid/>
        <w:spacing w:line="600" w:lineRule="exact"/>
        <w:ind w:firstLine="640" w:firstLineChars="200"/>
        <w:jc w:val="both"/>
        <w:textAlignment w:val="auto"/>
        <w:rPr>
          <w:rFonts w:hint="eastAsia" w:ascii="方正仿宋_GBK" w:hAnsi="方正仿宋_GBK" w:eastAsia="方正仿宋_GBK" w:cs="方正仿宋_GBK"/>
          <w:color w:val="000000"/>
          <w:kern w:val="0"/>
          <w:sz w:val="32"/>
          <w:szCs w:val="32"/>
          <w:lang w:val="en-US" w:eastAsia="zh-CN" w:bidi="ar"/>
        </w:rPr>
      </w:pPr>
    </w:p>
    <w:p w14:paraId="59316308">
      <w:pPr>
        <w:pStyle w:val="18"/>
        <w:keepNext w:val="0"/>
        <w:keepLines w:val="0"/>
        <w:pageBreakBefore w:val="0"/>
        <w:widowControl w:val="0"/>
        <w:suppressLineNumbers w:val="0"/>
        <w:kinsoku/>
        <w:wordWrap/>
        <w:overflowPunct/>
        <w:topLinePunct w:val="0"/>
        <w:autoSpaceDE w:val="0"/>
        <w:autoSpaceDN/>
        <w:bidi w:val="0"/>
        <w:adjustRightInd/>
        <w:snapToGrid/>
        <w:spacing w:line="600" w:lineRule="exact"/>
        <w:jc w:val="both"/>
        <w:textAlignment w:val="auto"/>
        <w:rPr>
          <w:rFonts w:hint="default" w:ascii="Times New Roman" w:hAnsi="Times New Roman" w:eastAsia="方正仿宋_GBK" w:cs="Times New Roman"/>
          <w:color w:val="000000"/>
          <w:sz w:val="32"/>
          <w:szCs w:val="32"/>
          <w:shd w:val="clear" w:color="auto" w:fill="FFFFFF"/>
          <w:lang w:val="en-US" w:eastAsia="zh-CN"/>
        </w:rPr>
      </w:pPr>
      <w:r>
        <w:rPr>
          <w:rFonts w:hint="default" w:ascii="Times New Roman" w:hAnsi="Times New Roman" w:eastAsia="方正仿宋_GBK" w:cs="Times New Roman"/>
          <w:color w:val="000000"/>
          <w:sz w:val="32"/>
          <w:szCs w:val="32"/>
          <w:shd w:val="clear" w:color="auto" w:fill="FFFFFF"/>
          <w:lang w:val="en-US" w:eastAsia="zh-CN"/>
        </w:rPr>
        <w:t xml:space="preserve">                 </w:t>
      </w:r>
    </w:p>
    <w:p w14:paraId="72F2B275">
      <w:pPr>
        <w:pStyle w:val="18"/>
        <w:keepNext w:val="0"/>
        <w:keepLines w:val="0"/>
        <w:pageBreakBefore w:val="0"/>
        <w:widowControl w:val="0"/>
        <w:suppressLineNumbers w:val="0"/>
        <w:kinsoku/>
        <w:wordWrap/>
        <w:overflowPunct/>
        <w:topLinePunct w:val="0"/>
        <w:autoSpaceDE w:val="0"/>
        <w:autoSpaceDN/>
        <w:bidi w:val="0"/>
        <w:adjustRightInd/>
        <w:snapToGrid/>
        <w:spacing w:line="600" w:lineRule="exact"/>
        <w:ind w:left="4800" w:leftChars="0" w:hanging="4800" w:hangingChars="1500"/>
        <w:jc w:val="left"/>
        <w:textAlignment w:val="auto"/>
        <w:rPr>
          <w:rFonts w:hint="default" w:ascii="Times New Roman" w:hAnsi="Times New Roman" w:eastAsia="方正仿宋_GBK" w:cs="Times New Roman"/>
          <w:color w:val="000000"/>
          <w:sz w:val="32"/>
          <w:szCs w:val="32"/>
          <w:shd w:val="clear" w:color="auto" w:fill="FFFFFF"/>
          <w:lang w:val="en-US" w:eastAsia="zh-CN"/>
        </w:rPr>
      </w:pPr>
      <w:r>
        <w:rPr>
          <w:rFonts w:hint="default" w:ascii="Times New Roman" w:hAnsi="Times New Roman" w:eastAsia="方正仿宋_GBK" w:cs="Times New Roman"/>
          <w:color w:val="000000"/>
          <w:sz w:val="32"/>
          <w:szCs w:val="32"/>
          <w:shd w:val="clear" w:color="auto" w:fill="FFFFFF"/>
          <w:lang w:val="en-US" w:eastAsia="zh-CN"/>
        </w:rPr>
        <w:t xml:space="preserve">                    </w:t>
      </w:r>
      <w:r>
        <w:rPr>
          <w:rFonts w:hint="eastAsia" w:eastAsia="方正仿宋_GBK" w:cs="Times New Roman"/>
          <w:color w:val="000000"/>
          <w:sz w:val="32"/>
          <w:szCs w:val="32"/>
          <w:shd w:val="clear" w:color="auto" w:fill="FFFFFF"/>
          <w:lang w:val="en-US" w:eastAsia="zh-CN"/>
        </w:rPr>
        <w:t xml:space="preserve">      </w:t>
      </w:r>
      <w:r>
        <w:rPr>
          <w:rFonts w:hint="default" w:ascii="Times New Roman" w:hAnsi="Times New Roman" w:eastAsia="方正仿宋_GBK" w:cs="Times New Roman"/>
          <w:color w:val="000000"/>
          <w:sz w:val="32"/>
          <w:szCs w:val="32"/>
          <w:shd w:val="clear" w:color="auto" w:fill="FFFFFF"/>
          <w:lang w:val="en-US" w:eastAsia="zh-CN"/>
        </w:rPr>
        <w:t>亳州市自然资源和规划管理委员会</w:t>
      </w:r>
    </w:p>
    <w:p w14:paraId="2C19D502">
      <w:pPr>
        <w:pStyle w:val="18"/>
        <w:keepNext w:val="0"/>
        <w:keepLines w:val="0"/>
        <w:pageBreakBefore w:val="0"/>
        <w:widowControl w:val="0"/>
        <w:suppressLineNumbers w:val="0"/>
        <w:kinsoku/>
        <w:wordWrap/>
        <w:overflowPunct/>
        <w:topLinePunct w:val="0"/>
        <w:autoSpaceDE w:val="0"/>
        <w:autoSpaceDN/>
        <w:bidi w:val="0"/>
        <w:adjustRightInd/>
        <w:snapToGrid/>
        <w:spacing w:line="600" w:lineRule="exact"/>
        <w:ind w:left="4800" w:leftChars="0" w:hanging="4800" w:hangingChars="1500"/>
        <w:jc w:val="center"/>
        <w:textAlignment w:val="auto"/>
        <w:rPr>
          <w:rFonts w:hint="default" w:ascii="Times New Roman" w:hAnsi="Times New Roman" w:eastAsia="方正仿宋_GBK" w:cs="Times New Roman"/>
          <w:color w:val="000000"/>
          <w:sz w:val="32"/>
          <w:szCs w:val="32"/>
          <w:shd w:val="clear" w:color="auto" w:fill="FFFFFF"/>
          <w:lang w:val="en-US" w:eastAsia="zh-CN"/>
        </w:rPr>
      </w:pPr>
      <w:r>
        <w:rPr>
          <w:rFonts w:hint="eastAsia" w:eastAsia="方正仿宋_GBK" w:cs="Times New Roman"/>
          <w:color w:val="000000"/>
          <w:sz w:val="32"/>
          <w:szCs w:val="32"/>
          <w:shd w:val="clear" w:color="auto" w:fill="FFFFFF"/>
          <w:lang w:val="en-US" w:eastAsia="zh-CN"/>
        </w:rPr>
        <w:t xml:space="preserve">                            </w:t>
      </w:r>
      <w:r>
        <w:rPr>
          <w:rFonts w:hint="default" w:ascii="Times New Roman" w:hAnsi="Times New Roman" w:eastAsia="方正仿宋_GBK" w:cs="Times New Roman"/>
          <w:color w:val="000000"/>
          <w:sz w:val="32"/>
          <w:szCs w:val="32"/>
          <w:shd w:val="clear" w:color="auto" w:fill="FFFFFF"/>
          <w:lang w:val="en-US" w:eastAsia="zh-CN"/>
        </w:rPr>
        <w:t>202</w:t>
      </w:r>
      <w:r>
        <w:rPr>
          <w:rFonts w:hint="eastAsia" w:eastAsia="方正仿宋_GBK" w:cs="Times New Roman"/>
          <w:color w:val="000000"/>
          <w:sz w:val="32"/>
          <w:szCs w:val="32"/>
          <w:shd w:val="clear" w:color="auto" w:fill="FFFFFF"/>
          <w:lang w:val="en-US" w:eastAsia="zh-CN"/>
        </w:rPr>
        <w:t>5</w:t>
      </w:r>
      <w:r>
        <w:rPr>
          <w:rFonts w:hint="default" w:ascii="Times New Roman" w:hAnsi="Times New Roman" w:eastAsia="方正仿宋_GBK" w:cs="Times New Roman"/>
          <w:color w:val="000000"/>
          <w:sz w:val="32"/>
          <w:szCs w:val="32"/>
          <w:shd w:val="clear" w:color="auto" w:fill="FFFFFF"/>
          <w:lang w:val="en-US" w:eastAsia="zh-CN"/>
        </w:rPr>
        <w:t>年</w:t>
      </w:r>
      <w:r>
        <w:rPr>
          <w:rFonts w:hint="eastAsia" w:eastAsia="方正仿宋_GBK" w:cs="Times New Roman"/>
          <w:color w:val="000000"/>
          <w:sz w:val="32"/>
          <w:szCs w:val="32"/>
          <w:shd w:val="clear" w:color="auto" w:fill="FFFFFF"/>
          <w:lang w:val="en-US" w:eastAsia="zh-CN"/>
        </w:rPr>
        <w:t>6</w:t>
      </w:r>
      <w:r>
        <w:rPr>
          <w:rFonts w:hint="default" w:ascii="Times New Roman" w:hAnsi="Times New Roman" w:eastAsia="方正仿宋_GBK" w:cs="Times New Roman"/>
          <w:color w:val="000000"/>
          <w:sz w:val="32"/>
          <w:szCs w:val="32"/>
          <w:shd w:val="clear" w:color="auto" w:fill="FFFFFF"/>
          <w:lang w:val="en-US" w:eastAsia="zh-CN"/>
        </w:rPr>
        <w:t>月</w:t>
      </w:r>
      <w:r>
        <w:rPr>
          <w:rFonts w:hint="eastAsia" w:eastAsia="方正仿宋_GBK" w:cs="Times New Roman"/>
          <w:color w:val="000000"/>
          <w:sz w:val="32"/>
          <w:szCs w:val="32"/>
          <w:shd w:val="clear" w:color="auto" w:fill="FFFFFF"/>
          <w:lang w:val="en-US" w:eastAsia="zh-CN"/>
        </w:rPr>
        <w:t>6</w:t>
      </w:r>
      <w:r>
        <w:rPr>
          <w:rFonts w:hint="default" w:ascii="Times New Roman" w:hAnsi="Times New Roman" w:eastAsia="方正仿宋_GBK" w:cs="Times New Roman"/>
          <w:color w:val="000000"/>
          <w:sz w:val="32"/>
          <w:szCs w:val="32"/>
          <w:shd w:val="clear" w:color="auto" w:fill="FFFFFF"/>
          <w:lang w:val="en-US" w:eastAsia="zh-CN"/>
        </w:rPr>
        <w:t>日</w:t>
      </w:r>
    </w:p>
    <w:p w14:paraId="27BE4B8A">
      <w:pPr>
        <w:rPr>
          <w:rFonts w:hint="default" w:ascii="Times New Roman" w:hAnsi="Times New Roman" w:eastAsia="宋体" w:cs="Times New Roman"/>
          <w:kern w:val="2"/>
          <w:sz w:val="21"/>
          <w:szCs w:val="21"/>
          <w:lang w:val="en-US" w:eastAsia="zh-CN" w:bidi="ar"/>
        </w:rPr>
      </w:pPr>
      <w:r>
        <w:rPr>
          <w:rFonts w:hint="default" w:ascii="Times New Roman" w:hAnsi="Times New Roman" w:eastAsia="方正仿宋_GBK" w:cs="Times New Roman"/>
          <w:color w:val="000000"/>
          <w:sz w:val="32"/>
          <w:szCs w:val="32"/>
          <w:shd w:val="clear" w:color="auto" w:fill="FFFFFF"/>
          <w:lang w:val="en-US" w:eastAsia="zh-CN"/>
        </w:rPr>
        <w:br w:type="page"/>
      </w:r>
    </w:p>
    <w:p w14:paraId="7EC8F470">
      <w:pPr>
        <w:pStyle w:val="6"/>
        <w:keepNext w:val="0"/>
        <w:keepLines w:val="0"/>
        <w:pageBreakBefore w:val="0"/>
        <w:widowControl w:val="0"/>
        <w:kinsoku/>
        <w:wordWrap/>
        <w:overflowPunct/>
        <w:topLinePunct w:val="0"/>
        <w:autoSpaceDE/>
        <w:autoSpaceDN/>
        <w:bidi w:val="0"/>
        <w:adjustRightInd/>
        <w:textAlignment w:val="auto"/>
        <w:rPr>
          <w:rFonts w:hint="eastAsia"/>
          <w:lang w:val="en-US" w:eastAsia="zh-CN"/>
        </w:rPr>
      </w:pPr>
      <w:r>
        <w:rPr>
          <w:lang w:val="en-US"/>
        </w:rPr>
        <w:t xml:space="preserve"> </w:t>
      </w:r>
    </w:p>
    <w:p w14:paraId="483E6769">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Style w:val="27"/>
          <w:rFonts w:hint="eastAsia" w:ascii="方正小标宋简体" w:hAnsi="方正小标宋简体" w:eastAsia="方正小标宋简体" w:cs="方正小标宋简体"/>
          <w:b w:val="0"/>
          <w:bCs w:val="0"/>
          <w:sz w:val="44"/>
          <w:szCs w:val="44"/>
        </w:rPr>
      </w:pPr>
      <w:r>
        <w:rPr>
          <w:rStyle w:val="27"/>
          <w:rFonts w:hint="eastAsia" w:ascii="方正小标宋简体" w:hAnsi="方正小标宋简体" w:eastAsia="方正小标宋简体" w:cs="方正小标宋简体"/>
          <w:b w:val="0"/>
          <w:bCs w:val="0"/>
          <w:sz w:val="44"/>
          <w:szCs w:val="44"/>
          <w:lang w:eastAsia="zh-CN"/>
        </w:rPr>
        <w:t>亳州市</w:t>
      </w:r>
      <w:r>
        <w:rPr>
          <w:rStyle w:val="27"/>
          <w:rFonts w:hint="eastAsia" w:ascii="方正小标宋简体" w:hAnsi="方正小标宋简体" w:eastAsia="方正小标宋简体" w:cs="方正小标宋简体"/>
          <w:b w:val="0"/>
          <w:bCs w:val="0"/>
          <w:sz w:val="44"/>
          <w:szCs w:val="44"/>
        </w:rPr>
        <w:t>立体生态住宅规划建设试点指导意见</w:t>
      </w:r>
    </w:p>
    <w:p w14:paraId="6619D0D2">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p>
    <w:p w14:paraId="352650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为进一步改善城市人居环境，切实提升人居环境品质，适应房地产市场供求关系新变化，更好满足人民群众对美好生活的向往，结合我市实际，特制定亳州市立体生态住宅规划建设试点</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指导意见。</w:t>
      </w:r>
    </w:p>
    <w:p w14:paraId="24FAAF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一、指导思想</w:t>
      </w:r>
    </w:p>
    <w:p w14:paraId="242916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以习近平新时代中国特色社会主义思想为指导，</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认真贯彻落实2025年国务院政府工作报告提出的“推动建设安全、舒适、绿色、智慧的好房子”要求，</w:t>
      </w:r>
      <w:r>
        <w:rPr>
          <w:rFonts w:hint="eastAsia" w:ascii="方正仿宋_GBK" w:hAnsi="方正仿宋_GBK" w:eastAsia="方正仿宋_GBK" w:cs="方正仿宋_GBK"/>
          <w:color w:val="000000" w:themeColor="text1"/>
          <w:sz w:val="32"/>
          <w:szCs w:val="32"/>
          <w14:textFill>
            <w14:solidFill>
              <w14:schemeClr w14:val="tx1"/>
            </w14:solidFill>
          </w14:textFill>
        </w:rPr>
        <w:t>支持</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开展</w:t>
      </w:r>
      <w:r>
        <w:rPr>
          <w:rFonts w:hint="eastAsia" w:ascii="方正仿宋_GBK" w:hAnsi="方正仿宋_GBK" w:eastAsia="方正仿宋_GBK" w:cs="方正仿宋_GBK"/>
          <w:color w:val="000000" w:themeColor="text1"/>
          <w:sz w:val="32"/>
          <w:szCs w:val="32"/>
          <w14:textFill>
            <w14:solidFill>
              <w14:schemeClr w14:val="tx1"/>
            </w14:solidFill>
          </w14:textFill>
        </w:rPr>
        <w:t>立体生态住宅</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规划建设，</w:t>
      </w:r>
      <w:r>
        <w:rPr>
          <w:rFonts w:hint="eastAsia" w:ascii="方正仿宋_GBK" w:hAnsi="方正仿宋_GBK" w:eastAsia="方正仿宋_GBK" w:cs="方正仿宋_GBK"/>
          <w:color w:val="000000" w:themeColor="text1"/>
          <w:sz w:val="32"/>
          <w:szCs w:val="32"/>
          <w14:textFill>
            <w14:solidFill>
              <w14:schemeClr w14:val="tx1"/>
            </w14:solidFill>
          </w14:textFill>
        </w:rPr>
        <w:t>提供多样化高质量住宅产品。</w:t>
      </w:r>
    </w:p>
    <w:p w14:paraId="325EFC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二、概念及适用范围</w:t>
      </w:r>
    </w:p>
    <w:p w14:paraId="5F96A3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立体生态住宅是将绿色生态理念融入城市建筑，通过设置户属空中花园等立体</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结构</w:t>
      </w:r>
      <w:r>
        <w:rPr>
          <w:rFonts w:hint="eastAsia" w:ascii="方正仿宋_GBK" w:hAnsi="方正仿宋_GBK" w:eastAsia="方正仿宋_GBK" w:cs="方正仿宋_GBK"/>
          <w:color w:val="000000" w:themeColor="text1"/>
          <w:sz w:val="32"/>
          <w:szCs w:val="32"/>
          <w14:textFill>
            <w14:solidFill>
              <w14:schemeClr w14:val="tx1"/>
            </w14:solidFill>
          </w14:textFill>
        </w:rPr>
        <w:t>，将空中花园与现代建筑相结合，建筑材料和建造方式符合绿色建筑理念的高品质住宅。</w:t>
      </w:r>
    </w:p>
    <w:p w14:paraId="317F77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（一）</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户属空中花园</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指高度不小于两个自然层的空中花园，与住宅套内空间连接，宜设置在每套住宅的起居室外或建筑转角处。</w:t>
      </w:r>
    </w:p>
    <w:p w14:paraId="6E42060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二</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）试点条件。</w:t>
      </w:r>
      <w:r>
        <w:rPr>
          <w:rFonts w:hint="default" w:ascii="Times New Roman" w:hAnsi="Times New Roman" w:eastAsia="方正仿宋_GBK" w:cs="Times New Roman"/>
          <w:color w:val="000000" w:themeColor="text1"/>
          <w:sz w:val="32"/>
          <w:szCs w:val="32"/>
          <w14:textFill>
            <w14:solidFill>
              <w14:schemeClr w14:val="tx1"/>
            </w14:solidFill>
          </w14:textFill>
        </w:rPr>
        <w:t>立体生态住宅应为建筑高度不宜超过</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60</w:t>
      </w:r>
      <w:r>
        <w:rPr>
          <w:rFonts w:hint="default" w:ascii="Times New Roman" w:hAnsi="Times New Roman" w:eastAsia="方正仿宋_GBK" w:cs="Times New Roman"/>
          <w:color w:val="000000" w:themeColor="text1"/>
          <w:sz w:val="32"/>
          <w:szCs w:val="32"/>
          <w14:textFill>
            <w14:solidFill>
              <w14:schemeClr w14:val="tx1"/>
            </w14:solidFill>
          </w14:textFill>
        </w:rPr>
        <w:t>米的改善型住房，户型套内面积</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不含公摊</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在</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100</w:t>
      </w:r>
      <w:r>
        <w:rPr>
          <w:rFonts w:hint="default" w:ascii="Times New Roman" w:hAnsi="Times New Roman" w:eastAsia="方正仿宋_GBK" w:cs="Times New Roman"/>
          <w:color w:val="000000" w:themeColor="text1"/>
          <w:sz w:val="32"/>
          <w:szCs w:val="32"/>
          <w14:textFill>
            <w14:solidFill>
              <w14:schemeClr w14:val="tx1"/>
            </w14:solidFill>
          </w14:textFill>
        </w:rPr>
        <w:t>平方米及以上，每户至少设置1处户属空中花园。</w:t>
      </w:r>
    </w:p>
    <w:p w14:paraId="6F1241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三、技术审查要点</w:t>
      </w:r>
    </w:p>
    <w:p w14:paraId="78EB7A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themeColor="text1"/>
          <w:sz w:val="32"/>
          <w:szCs w:val="32"/>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（一）</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户属空中花园。</w:t>
      </w:r>
      <w:r>
        <w:rPr>
          <w:rFonts w:hint="eastAsia" w:ascii="方正仿宋_GBK" w:hAnsi="方正仿宋_GBK" w:eastAsia="方正仿宋_GBK" w:cs="方正仿宋_GBK"/>
          <w:color w:val="000000" w:themeColor="text1"/>
          <w:sz w:val="32"/>
          <w:szCs w:val="32"/>
          <w14:textFill>
            <w14:solidFill>
              <w14:schemeClr w14:val="tx1"/>
            </w14:solidFill>
          </w14:textFill>
        </w:rPr>
        <w:t>除满足与住宅套内空间连接外还应当符合以下要求</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p>
    <w:p w14:paraId="0E14F7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1.每户户属空中花园总投影面积不应小于</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20</w:t>
      </w:r>
      <w:r>
        <w:rPr>
          <w:rFonts w:hint="default" w:ascii="Times New Roman" w:hAnsi="Times New Roman" w:eastAsia="方正仿宋_GBK" w:cs="Times New Roman"/>
          <w:color w:val="000000" w:themeColor="text1"/>
          <w:sz w:val="32"/>
          <w:szCs w:val="32"/>
          <w14:textFill>
            <w14:solidFill>
              <w14:schemeClr w14:val="tx1"/>
            </w14:solidFill>
          </w14:textFill>
        </w:rPr>
        <w:t>平方米，不宜大于50平方米</w:t>
      </w:r>
      <w:r>
        <w:rPr>
          <w:rFonts w:hint="eastAsia"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户属空中花园和阳台</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含生活阳台</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投影面积之和不得大于套内面积</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不含公摊</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的40%</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超出部分全部计容</w:t>
      </w:r>
      <w:r>
        <w:rPr>
          <w:rFonts w:hint="default" w:ascii="Times New Roman" w:hAnsi="Times New Roman" w:eastAsia="方正仿宋_GBK" w:cs="Times New Roman"/>
          <w:color w:val="000000" w:themeColor="text1"/>
          <w:sz w:val="32"/>
          <w:szCs w:val="32"/>
          <w14:textFill>
            <w14:solidFill>
              <w14:schemeClr w14:val="tx1"/>
            </w14:solidFill>
          </w14:textFill>
        </w:rPr>
        <w:t>。</w:t>
      </w:r>
    </w:p>
    <w:p w14:paraId="036200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2.户属空中花园层高</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下层地坪标高至上层地坪标高</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为2个及以上住宅自然层</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当上下相邻套型空中花园重叠导致层高为1个住宅自然层时，重叠面积不得超过该户属空中花园面积的20%，全区重叠面积不得超过空中花园总面积的5%</w:t>
      </w:r>
      <w:r>
        <w:rPr>
          <w:rFonts w:hint="default" w:ascii="Times New Roman" w:hAnsi="Times New Roman" w:eastAsia="方正仿宋_GBK" w:cs="Times New Roman"/>
          <w:color w:val="000000" w:themeColor="text1"/>
          <w:sz w:val="32"/>
          <w:szCs w:val="32"/>
          <w14:textFill>
            <w14:solidFill>
              <w14:schemeClr w14:val="tx1"/>
            </w14:solidFill>
          </w14:textFill>
        </w:rPr>
        <w:t>。</w:t>
      </w:r>
    </w:p>
    <w:p w14:paraId="4AF60C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3.户属空中花园进深不宜大于6米。</w:t>
      </w:r>
    </w:p>
    <w:p w14:paraId="4EA0A0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4.户属空中花园四周应有不少于2个完整的开敞面，连续开敞面应不少于周长的40%。开敞面可设置栏杆</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栏板</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。位于建筑凹槽内的，不视为开敞面。相邻套型、单元、楼栋通过绿化平台进行拼接的，拼接面不视为开敞面。</w:t>
      </w:r>
    </w:p>
    <w:p w14:paraId="52B628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5.户属花园设计应充分考虑住户私密性及安全要求，必要时应设置视线遮挡，满足安全要求的隔离设施。</w:t>
      </w:r>
    </w:p>
    <w:p w14:paraId="4D2DA4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eastAsia" w:eastAsia="方正仿宋_GBK" w:cs="Times New Roman"/>
          <w:color w:val="000000" w:themeColor="text1"/>
          <w:sz w:val="32"/>
          <w:szCs w:val="32"/>
          <w:u w:val="none"/>
          <w:lang w:val="en-US" w:eastAsia="zh-CN"/>
          <w14:textFill>
            <w14:solidFill>
              <w14:schemeClr w14:val="tx1"/>
            </w14:solidFill>
          </w14:textFill>
        </w:rPr>
        <w:t>6.户属空中花园排水应接入城市污水管网。</w:t>
      </w:r>
    </w:p>
    <w:p w14:paraId="67FF1C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000000" w:themeColor="text1"/>
          <w:sz w:val="32"/>
          <w:szCs w:val="32"/>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二</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default"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空中花园</w:t>
      </w:r>
      <w:r>
        <w:rPr>
          <w:rFonts w:hint="default" w:ascii="方正楷体_GBK" w:hAnsi="方正楷体_GBK" w:eastAsia="方正楷体_GBK" w:cs="方正楷体_GBK"/>
          <w:b w:val="0"/>
          <w:bCs w:val="0"/>
          <w:color w:val="000000" w:themeColor="text1"/>
          <w:sz w:val="32"/>
          <w:szCs w:val="32"/>
          <w:lang w:eastAsia="zh-CN"/>
          <w14:textFill>
            <w14:solidFill>
              <w14:schemeClr w14:val="tx1"/>
            </w14:solidFill>
          </w14:textFill>
        </w:rPr>
        <w:t>绿化</w:t>
      </w:r>
      <w:r>
        <w:rPr>
          <w:rFonts w:hint="default"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相关</w:t>
      </w:r>
      <w:r>
        <w:rPr>
          <w:rFonts w:hint="default" w:ascii="方正楷体_GBK" w:hAnsi="方正楷体_GBK" w:eastAsia="方正楷体_GBK" w:cs="方正楷体_GBK"/>
          <w:b w:val="0"/>
          <w:bCs w:val="0"/>
          <w:color w:val="000000" w:themeColor="text1"/>
          <w:sz w:val="32"/>
          <w:szCs w:val="32"/>
          <w:lang w:eastAsia="zh-CN"/>
          <w14:textFill>
            <w14:solidFill>
              <w14:schemeClr w14:val="tx1"/>
            </w14:solidFill>
          </w14:textFill>
        </w:rPr>
        <w:t>要求。</w:t>
      </w:r>
    </w:p>
    <w:p w14:paraId="40692D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1.户属空中花园种植绿化应</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因地制宜</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以灌木为主，适当种植小乔木</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、花卉</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，考虑植物</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与花卉</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的景观效果和生长特性。</w:t>
      </w:r>
    </w:p>
    <w:p w14:paraId="7E2CAC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2.户属空中花园应满足平均覆土深度</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0.8</w:t>
      </w:r>
      <w:r>
        <w:rPr>
          <w:rFonts w:hint="eastAsia" w:eastAsia="方正仿宋_GBK" w:cs="Times New Roman"/>
          <w:color w:val="000000" w:themeColor="text1"/>
          <w:sz w:val="32"/>
          <w:szCs w:val="32"/>
          <w:lang w:val="en-US" w:eastAsia="zh-CN"/>
          <w14:textFill>
            <w14:solidFill>
              <w14:schemeClr w14:val="tx1"/>
            </w14:solidFill>
          </w14:textFill>
        </w:rPr>
        <w:t>米</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的种植荷载要求，</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同步做好</w:t>
      </w:r>
      <w:r>
        <w:rPr>
          <w:rFonts w:hint="default" w:ascii="方正仿宋_GBK" w:hAnsi="方正仿宋_GBK" w:eastAsia="方正仿宋_GBK" w:cs="方正仿宋_GBK"/>
          <w:color w:val="000000" w:themeColor="text1"/>
          <w:sz w:val="32"/>
          <w:szCs w:val="32"/>
          <w:lang w:val="en-US" w:eastAsia="zh-CN"/>
          <w14:textFill>
            <w14:solidFill>
              <w14:schemeClr w14:val="tx1"/>
            </w14:solidFill>
          </w14:textFill>
        </w:rPr>
        <w:t>防水</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w:t>
      </w:r>
      <w:r>
        <w:rPr>
          <w:rFonts w:hint="default" w:ascii="方正仿宋_GBK" w:hAnsi="方正仿宋_GBK" w:eastAsia="方正仿宋_GBK" w:cs="方正仿宋_GBK"/>
          <w:color w:val="000000" w:themeColor="text1"/>
          <w:sz w:val="32"/>
          <w:szCs w:val="32"/>
          <w:lang w:val="en-US" w:eastAsia="zh-CN"/>
          <w14:textFill>
            <w14:solidFill>
              <w14:schemeClr w14:val="tx1"/>
            </w14:solidFill>
          </w14:textFill>
        </w:rPr>
        <w:t>供水、</w:t>
      </w:r>
      <w:r>
        <w:rPr>
          <w:rFonts w:hint="default" w:ascii="方正仿宋_GBK" w:hAnsi="方正仿宋_GBK" w:eastAsia="方正仿宋_GBK" w:cs="方正仿宋_GBK"/>
          <w:color w:val="000000" w:themeColor="text1"/>
          <w:sz w:val="32"/>
          <w:szCs w:val="32"/>
          <w14:textFill>
            <w14:solidFill>
              <w14:schemeClr w14:val="tx1"/>
            </w14:solidFill>
          </w14:textFill>
        </w:rPr>
        <w:t>排水系统</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设计</w:t>
      </w:r>
      <w:r>
        <w:rPr>
          <w:rFonts w:hint="default" w:ascii="方正仿宋_GBK" w:hAnsi="方正仿宋_GBK" w:eastAsia="方正仿宋_GBK" w:cs="方正仿宋_GBK"/>
          <w:color w:val="000000" w:themeColor="text1"/>
          <w:sz w:val="32"/>
          <w:szCs w:val="32"/>
          <w14:textFill>
            <w14:solidFill>
              <w14:schemeClr w14:val="tx1"/>
            </w14:solidFill>
          </w14:textFill>
        </w:rPr>
        <w:t>。</w:t>
      </w:r>
    </w:p>
    <w:p w14:paraId="412B03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（三）计容和产权。</w:t>
      </w:r>
    </w:p>
    <w:p w14:paraId="7F49B1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1.户属空中花园在满足技术审查要点</w:t>
      </w:r>
      <w:r>
        <w:rPr>
          <w:rFonts w:hint="eastAsia" w:ascii="方正仿宋_GBK" w:hAnsi="方正仿宋_GBK" w:eastAsia="方正仿宋_GBK" w:cs="方正仿宋_GBK"/>
          <w:color w:val="000000" w:themeColor="text1"/>
          <w:sz w:val="32"/>
          <w:szCs w:val="32"/>
          <w14:textFill>
            <w14:solidFill>
              <w14:schemeClr w14:val="tx1"/>
            </w14:solidFill>
          </w14:textFill>
        </w:rPr>
        <w:t>第</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一</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二</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款的前提下，不计容积率和产权面积。</w:t>
      </w:r>
    </w:p>
    <w:p w14:paraId="70434B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2.户属空中花园在满足技术审查要点</w:t>
      </w:r>
      <w:r>
        <w:rPr>
          <w:rFonts w:hint="eastAsia" w:ascii="方正仿宋_GBK" w:hAnsi="方正仿宋_GBK" w:eastAsia="方正仿宋_GBK" w:cs="方正仿宋_GBK"/>
          <w:color w:val="000000" w:themeColor="text1"/>
          <w:sz w:val="32"/>
          <w:szCs w:val="32"/>
          <w14:textFill>
            <w14:solidFill>
              <w14:schemeClr w14:val="tx1"/>
            </w14:solidFill>
          </w14:textFill>
        </w:rPr>
        <w:t>第</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一</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二</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款的前提下，</w:t>
      </w:r>
      <w:bookmarkStart w:id="0" w:name="OLE_LINK1"/>
      <w:r>
        <w:rPr>
          <w:rFonts w:hint="eastAsia" w:ascii="方正仿宋_GBK" w:hAnsi="方正仿宋_GBK" w:eastAsia="方正仿宋_GBK" w:cs="方正仿宋_GBK"/>
          <w:color w:val="000000" w:themeColor="text1"/>
          <w:sz w:val="32"/>
          <w:szCs w:val="32"/>
          <w14:textFill>
            <w14:solidFill>
              <w14:schemeClr w14:val="tx1"/>
            </w14:solidFill>
          </w14:textFill>
        </w:rPr>
        <w:t>不计入人防配建面积基数</w:t>
      </w:r>
      <w:r>
        <w:rPr>
          <w:rFonts w:hint="default" w:ascii="Times New Roman" w:hAnsi="Times New Roman" w:eastAsia="方正仿宋_GBK" w:cs="Times New Roman"/>
          <w:color w:val="000000" w:themeColor="text1"/>
          <w:sz w:val="32"/>
          <w:szCs w:val="32"/>
          <w14:textFill>
            <w14:solidFill>
              <w14:schemeClr w14:val="tx1"/>
            </w14:solidFill>
          </w14:textFill>
        </w:rPr>
        <w:t>、不计入机动车、非机动车配建面积基数、不计入配套设施配建面积基数。</w:t>
      </w:r>
    </w:p>
    <w:bookmarkEnd w:id="0"/>
    <w:p w14:paraId="2C1A64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四</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建筑密度和建筑间距控制</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p>
    <w:p w14:paraId="1E5B7F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立体生态住宅建筑密度按首层建筑基底面积标准计算，允许试点项目适当提高建筑密度，且符合规划条件。</w:t>
      </w:r>
    </w:p>
    <w:p w14:paraId="7CC619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2</w:t>
      </w:r>
      <w:r>
        <w:rPr>
          <w:rFonts w:hint="default" w:ascii="Times New Roman" w:hAnsi="Times New Roman" w:eastAsia="方正仿宋_GBK" w:cs="Times New Roman"/>
          <w:color w:val="000000" w:themeColor="text1"/>
          <w:sz w:val="32"/>
          <w:szCs w:val="32"/>
          <w14:textFill>
            <w14:solidFill>
              <w14:schemeClr w14:val="tx1"/>
            </w14:solidFill>
          </w14:textFill>
        </w:rPr>
        <w:t>.地块内立体生态住宅之间的间距及建筑面宽按户属空中花园投影进深尺寸的二分之一范围线进行计算。</w:t>
      </w:r>
    </w:p>
    <w:p w14:paraId="4AE54E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3</w:t>
      </w:r>
      <w:bookmarkStart w:id="1" w:name="OLE_LINK2"/>
      <w:r>
        <w:rPr>
          <w:rFonts w:hint="default" w:ascii="Times New Roman" w:hAnsi="Times New Roman" w:eastAsia="方正仿宋_GBK" w:cs="Times New Roman"/>
          <w:color w:val="000000" w:themeColor="text1"/>
          <w:sz w:val="32"/>
          <w:szCs w:val="32"/>
          <w14:textFill>
            <w14:solidFill>
              <w14:schemeClr w14:val="tx1"/>
            </w14:solidFill>
          </w14:textFill>
        </w:rPr>
        <w:t>.立体生态住宅</w:t>
      </w:r>
      <w:bookmarkEnd w:id="1"/>
      <w:r>
        <w:rPr>
          <w:rFonts w:hint="default" w:ascii="Times New Roman" w:hAnsi="Times New Roman" w:eastAsia="方正仿宋_GBK" w:cs="Times New Roman"/>
          <w:color w:val="000000" w:themeColor="text1"/>
          <w:sz w:val="32"/>
          <w:szCs w:val="32"/>
          <w14:textFill>
            <w14:solidFill>
              <w14:schemeClr w14:val="tx1"/>
            </w14:solidFill>
          </w14:textFill>
        </w:rPr>
        <w:t>与地块外建筑及与地块内非立体生态住宅建筑的间距，以及立体生态住宅退用地红线、道路红线、绿地等退距应按照户属空中花园的最外边缘计算。</w:t>
      </w:r>
    </w:p>
    <w:p w14:paraId="7AED86BE">
      <w:pPr>
        <w:pStyle w:val="2"/>
        <w:keepNext w:val="0"/>
        <w:keepLines w:val="0"/>
        <w:pageBreakBefore w:val="0"/>
        <w:kinsoku/>
        <w:wordWrap/>
        <w:overflowPunct/>
        <w:topLinePunct w:val="0"/>
        <w:autoSpaceDE/>
        <w:autoSpaceDN/>
        <w:bidi w:val="0"/>
        <w:spacing w:line="560" w:lineRule="exact"/>
        <w:jc w:val="both"/>
        <w:textAlignment w:val="auto"/>
        <w:rPr>
          <w:rFonts w:hint="default" w:ascii="Times New Roman" w:hAnsi="Times New Roman" w:eastAsia="方正仿宋_GBK" w:cs="Times New Roman"/>
          <w:color w:val="000000" w:themeColor="text1"/>
          <w:kern w:val="2"/>
          <w:sz w:val="32"/>
          <w:szCs w:val="32"/>
          <w:u w:val="none"/>
          <w:lang w:val="en-US" w:eastAsia="zh-CN" w:bidi="ar-SA"/>
          <w14:textFill>
            <w14:solidFill>
              <w14:schemeClr w14:val="tx1"/>
            </w14:solidFill>
          </w14:textFill>
        </w:rPr>
      </w:pPr>
      <w:r>
        <w:rPr>
          <w:rFonts w:hint="eastAsia" w:ascii="Times New Roman" w:hAnsi="Times New Roman" w:eastAsia="方正仿宋_GBK" w:cs="Times New Roman"/>
          <w:color w:val="000000" w:themeColor="text1"/>
          <w:kern w:val="2"/>
          <w:sz w:val="32"/>
          <w:szCs w:val="32"/>
          <w:u w:val="none"/>
          <w:lang w:val="en-US" w:eastAsia="zh-CN" w:bidi="ar-SA"/>
          <w14:textFill>
            <w14:solidFill>
              <w14:schemeClr w14:val="tx1"/>
            </w14:solidFill>
          </w14:textFill>
        </w:rPr>
        <w:t>4.</w:t>
      </w:r>
      <w:r>
        <w:rPr>
          <w:rFonts w:hint="default" w:ascii="Times New Roman" w:hAnsi="Times New Roman" w:eastAsia="方正仿宋_GBK" w:cs="Times New Roman"/>
          <w:color w:val="000000" w:themeColor="text1"/>
          <w:kern w:val="2"/>
          <w:sz w:val="32"/>
          <w:szCs w:val="32"/>
          <w:u w:val="none"/>
          <w:lang w:val="en-US" w:eastAsia="zh-CN" w:bidi="ar-SA"/>
          <w14:textFill>
            <w14:solidFill>
              <w14:schemeClr w14:val="tx1"/>
            </w14:solidFill>
          </w14:textFill>
        </w:rPr>
        <w:t>立体生态住宅</w:t>
      </w:r>
      <w:r>
        <w:rPr>
          <w:rFonts w:hint="eastAsia" w:eastAsia="方正仿宋_GBK" w:cs="Times New Roman"/>
          <w:color w:val="000000" w:themeColor="text1"/>
          <w:kern w:val="2"/>
          <w:sz w:val="32"/>
          <w:szCs w:val="32"/>
          <w:u w:val="none"/>
          <w:lang w:val="en-US" w:eastAsia="zh-CN" w:bidi="ar-SA"/>
          <w14:textFill>
            <w14:solidFill>
              <w14:schemeClr w14:val="tx1"/>
            </w14:solidFill>
          </w14:textFill>
        </w:rPr>
        <w:t>项目</w:t>
      </w:r>
      <w:r>
        <w:rPr>
          <w:rFonts w:hint="eastAsia" w:ascii="Times New Roman" w:hAnsi="Times New Roman" w:eastAsia="方正仿宋_GBK" w:cs="Times New Roman"/>
          <w:color w:val="000000" w:themeColor="text1"/>
          <w:kern w:val="2"/>
          <w:sz w:val="32"/>
          <w:szCs w:val="32"/>
          <w:u w:val="none"/>
          <w:lang w:val="en-US" w:eastAsia="zh-CN" w:bidi="ar-SA"/>
          <w14:textFill>
            <w14:solidFill>
              <w14:schemeClr w14:val="tx1"/>
            </w14:solidFill>
          </w14:textFill>
        </w:rPr>
        <w:t>用地红线紧邻市政绿化带的，在不产生安全隐患和不侵害第三人合法权益的前提下，根据实际情况，可沿项目用地红线边缘设计建设建筑物(构筑物)或适当减少退让距离。</w:t>
      </w:r>
    </w:p>
    <w:p w14:paraId="233E0E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5</w:t>
      </w:r>
      <w:r>
        <w:rPr>
          <w:rFonts w:hint="eastAsia" w:ascii="Times New Roman" w:hAnsi="Times New Roman" w:eastAsia="方正仿宋_GBK" w:cs="Times New Roman"/>
          <w:color w:val="000000" w:themeColor="text1"/>
          <w:kern w:val="2"/>
          <w:sz w:val="32"/>
          <w:szCs w:val="32"/>
          <w:u w:val="none"/>
          <w:lang w:val="en-US" w:eastAsia="zh-CN" w:bidi="ar-SA"/>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消防和安全距离按相关规定执行。</w:t>
      </w:r>
    </w:p>
    <w:p w14:paraId="7098E1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五</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日照管理要求</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建筑之间的日照间距应符合现行国家标准《城市居住区规划设计标准》</w:t>
      </w:r>
      <w:r>
        <w:rPr>
          <w:rFonts w:hint="eastAsia"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GB 50180</w:t>
      </w:r>
      <w:r>
        <w:rPr>
          <w:rFonts w:hint="eastAsia" w:eastAsia="方正仿宋_GBK" w:cs="Times New Roman"/>
          <w:color w:val="000000" w:themeColor="text1"/>
          <w:sz w:val="32"/>
          <w:szCs w:val="32"/>
          <w:lang w:eastAsia="zh-CN"/>
          <w14:textFill>
            <w14:solidFill>
              <w14:schemeClr w14:val="tx1"/>
            </w14:solidFill>
          </w14:textFill>
        </w:rPr>
        <w:t>—</w:t>
      </w:r>
      <w:r>
        <w:rPr>
          <w:rFonts w:hint="eastAsia" w:eastAsia="方正仿宋_GBK" w:cs="Times New Roman"/>
          <w:color w:val="000000" w:themeColor="text1"/>
          <w:sz w:val="32"/>
          <w:szCs w:val="32"/>
          <w:lang w:val="en-US" w:eastAsia="zh-CN"/>
          <w14:textFill>
            <w14:solidFill>
              <w14:schemeClr w14:val="tx1"/>
            </w14:solidFill>
          </w14:textFill>
        </w:rPr>
        <w:t>2018）</w:t>
      </w:r>
      <w:r>
        <w:rPr>
          <w:rFonts w:hint="default" w:ascii="Times New Roman" w:hAnsi="Times New Roman" w:eastAsia="方正仿宋_GBK" w:cs="Times New Roman"/>
          <w:color w:val="000000" w:themeColor="text1"/>
          <w:sz w:val="32"/>
          <w:szCs w:val="32"/>
          <w14:textFill>
            <w14:solidFill>
              <w14:schemeClr w14:val="tx1"/>
            </w14:solidFill>
          </w14:textFill>
        </w:rPr>
        <w:t>的有关规定</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和亳州</w:t>
      </w:r>
      <w:r>
        <w:rPr>
          <w:rFonts w:hint="default" w:ascii="Times New Roman" w:hAnsi="Times New Roman" w:eastAsia="方正仿宋_GBK" w:cs="Times New Roman"/>
          <w:color w:val="000000" w:themeColor="text1"/>
          <w:sz w:val="32"/>
          <w:szCs w:val="32"/>
          <w14:textFill>
            <w14:solidFill>
              <w14:schemeClr w14:val="tx1"/>
            </w14:solidFill>
          </w14:textFill>
        </w:rPr>
        <w:t>市现行的日照分析规则，</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日照计算应符合</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以</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下规定：</w:t>
      </w:r>
    </w:p>
    <w:p w14:paraId="10391C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w:t>
      </w:r>
      <w:r>
        <w:rPr>
          <w:rFonts w:hint="default" w:ascii="Times New Roman" w:hAnsi="Times New Roman" w:eastAsia="方正仿宋_GBK" w:cs="Times New Roman"/>
          <w:color w:val="000000" w:themeColor="text1"/>
          <w:sz w:val="32"/>
          <w:szCs w:val="32"/>
          <w14:textFill>
            <w14:solidFill>
              <w14:schemeClr w14:val="tx1"/>
            </w14:solidFill>
          </w14:textFill>
        </w:rPr>
        <w:t>当立体生态住宅建筑为遮挡物时，日照计算的遮挡面应为户属空中花园的最外边缘；</w:t>
      </w:r>
    </w:p>
    <w:p w14:paraId="6847E9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2</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当立体生态住宅建筑为被遮挡建筑时，日照计算的被遮挡面应为建筑主体外边缘。</w:t>
      </w:r>
    </w:p>
    <w:p w14:paraId="2E5E01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lang w:val="en-US" w:eastAsia="zh-CN"/>
          <w14:textFill>
            <w14:solidFill>
              <w14:schemeClr w14:val="tx1"/>
            </w14:solidFill>
          </w14:textFill>
        </w:rPr>
        <w:t>六</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其他要求</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p>
    <w:p w14:paraId="298914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1.鼓励小区整体楼栋</w:t>
      </w:r>
      <w:r>
        <w:rPr>
          <w:rFonts w:hint="eastAsia" w:ascii="Times New Roman" w:hAnsi="Times New Roman" w:eastAsia="方正仿宋_GBK" w:cs="Times New Roman"/>
          <w:color w:val="000000" w:themeColor="text1"/>
          <w:sz w:val="32"/>
          <w:szCs w:val="32"/>
          <w14:textFill>
            <w14:solidFill>
              <w14:schemeClr w14:val="tx1"/>
            </w14:solidFill>
          </w14:textFill>
        </w:rPr>
        <w:t>景观绿化与建筑主体同步设计、同步施工、同步验收</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也可选择部分楼栋进行景观绿化同步交付，其余楼栋满足结构荷载要求和预留绿化种植区域。</w:t>
      </w:r>
    </w:p>
    <w:p w14:paraId="0A66EB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lang w:val="en-US" w:eastAsia="zh-CN"/>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2.因</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气候条件、住户隐私等原因，确需对户属空中花园进行围护的，由项目单位统一设计升降活动式、透明材质样式的围护设计方案，并报市自然资源和规划管理委员会审议通过，其围护后</w:t>
      </w:r>
      <w:r>
        <w:rPr>
          <w:rFonts w:ascii="方正仿宋_GBK" w:hAnsi="方正仿宋_GBK" w:eastAsia="方正仿宋_GBK" w:cs="方正仿宋_GBK"/>
          <w:color w:val="000000"/>
          <w:kern w:val="0"/>
          <w:sz w:val="31"/>
          <w:szCs w:val="31"/>
          <w:lang w:val="en-US" w:eastAsia="zh-CN" w:bidi="ar"/>
        </w:rPr>
        <w:t>的户属空中花园按照围护</w:t>
      </w:r>
      <w:r>
        <w:rPr>
          <w:rFonts w:hint="eastAsia" w:ascii="方正仿宋_GBK" w:hAnsi="方正仿宋_GBK" w:eastAsia="方正仿宋_GBK" w:cs="方正仿宋_GBK"/>
          <w:color w:val="000000"/>
          <w:kern w:val="0"/>
          <w:sz w:val="31"/>
          <w:szCs w:val="31"/>
          <w:lang w:val="en-US" w:eastAsia="zh-CN" w:bidi="ar"/>
        </w:rPr>
        <w:t>结构（设施）外围水平投影面积的</w:t>
      </w:r>
      <w:r>
        <w:rPr>
          <w:rFonts w:hint="default" w:ascii="Times New Roman" w:hAnsi="Times New Roman" w:eastAsia="宋体" w:cs="Times New Roman"/>
          <w:color w:val="000000"/>
          <w:kern w:val="0"/>
          <w:sz w:val="31"/>
          <w:szCs w:val="31"/>
          <w:lang w:val="en-US" w:eastAsia="zh-CN" w:bidi="ar"/>
        </w:rPr>
        <w:t>1/2</w:t>
      </w:r>
      <w:r>
        <w:rPr>
          <w:rFonts w:hint="eastAsia" w:ascii="方正仿宋_GBK" w:hAnsi="方正仿宋_GBK" w:eastAsia="方正仿宋_GBK" w:cs="方正仿宋_GBK"/>
          <w:color w:val="000000"/>
          <w:kern w:val="0"/>
          <w:sz w:val="31"/>
          <w:szCs w:val="31"/>
          <w:lang w:val="en-US" w:eastAsia="zh-CN" w:bidi="ar"/>
        </w:rPr>
        <w:t>计算建筑面积和容积率，可不计入人防配建面积基数、机动车和非机动车配建面积基数、配套设施配建面积基数。</w:t>
      </w:r>
    </w:p>
    <w:p w14:paraId="032A25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四、实施监管</w:t>
      </w:r>
    </w:p>
    <w:p w14:paraId="58BB3B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000000" w:themeColor="text1"/>
          <w:sz w:val="32"/>
          <w:szCs w:val="32"/>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（一）</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明确责任分工</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为更好管控立体生态住宅规划建设，进一步明晰各部门工作职责如下</w:t>
      </w:r>
      <w:r>
        <w:rPr>
          <w:rFonts w:hint="eastAsia" w:eastAsia="方正仿宋_GBK" w:cs="Times New Roman"/>
          <w:color w:val="000000" w:themeColor="text1"/>
          <w:sz w:val="32"/>
          <w:szCs w:val="32"/>
          <w:lang w:eastAsia="zh-CN"/>
          <w14:textFill>
            <w14:solidFill>
              <w14:schemeClr w14:val="tx1"/>
            </w14:solidFill>
          </w14:textFill>
        </w:rPr>
        <w:t>：</w:t>
      </w:r>
    </w:p>
    <w:p w14:paraId="2C08AA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1.市自然资源和规划局</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市规划设计院</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负责出具立体生态住宅项目试点地块</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规划条件</w:t>
      </w:r>
      <w:r>
        <w:rPr>
          <w:rFonts w:hint="default" w:ascii="Times New Roman" w:hAnsi="Times New Roman" w:eastAsia="方正仿宋_GBK" w:cs="Times New Roman"/>
          <w:color w:val="000000" w:themeColor="text1"/>
          <w:sz w:val="32"/>
          <w:szCs w:val="32"/>
          <w14:textFill>
            <w14:solidFill>
              <w14:schemeClr w14:val="tx1"/>
            </w14:solidFill>
          </w14:textFill>
        </w:rPr>
        <w:t>，审定立体生态住宅建设工程设计方案，以及立体生态住宅建设实施中的建筑验线、规划核实、不动产产权登记等工作。</w:t>
      </w:r>
    </w:p>
    <w:p w14:paraId="26DC6F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2.市</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住房</w:t>
      </w:r>
      <w:r>
        <w:rPr>
          <w:rFonts w:hint="default" w:ascii="Times New Roman" w:hAnsi="Times New Roman" w:eastAsia="方正仿宋_GBK" w:cs="Times New Roman"/>
          <w:color w:val="000000" w:themeColor="text1"/>
          <w:sz w:val="32"/>
          <w:szCs w:val="32"/>
          <w14:textFill>
            <w14:solidFill>
              <w14:schemeClr w14:val="tx1"/>
            </w14:solidFill>
          </w14:textFill>
        </w:rPr>
        <w:t>城乡建设局</w:t>
      </w:r>
      <w:r>
        <w:rPr>
          <w:rFonts w:hint="eastAsia"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负责</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按照规划方案</w:t>
      </w:r>
      <w:r>
        <w:rPr>
          <w:rFonts w:hint="eastAsia" w:eastAsia="方正仿宋_GBK" w:cs="Times New Roman"/>
          <w:color w:val="000000" w:themeColor="text1"/>
          <w:sz w:val="32"/>
          <w:szCs w:val="32"/>
          <w:lang w:eastAsia="zh-CN"/>
          <w14:textFill>
            <w14:solidFill>
              <w14:schemeClr w14:val="tx1"/>
            </w14:solidFill>
          </w14:textFill>
        </w:rPr>
        <w:t>对</w:t>
      </w:r>
      <w:r>
        <w:rPr>
          <w:rFonts w:hint="default" w:ascii="Times New Roman" w:hAnsi="Times New Roman" w:eastAsia="方正仿宋_GBK" w:cs="Times New Roman"/>
          <w:color w:val="000000" w:themeColor="text1"/>
          <w:sz w:val="32"/>
          <w:szCs w:val="32"/>
          <w14:textFill>
            <w14:solidFill>
              <w14:schemeClr w14:val="tx1"/>
            </w14:solidFill>
          </w14:textFill>
        </w:rPr>
        <w:t>立体生态住宅施工图</w:t>
      </w:r>
      <w:r>
        <w:rPr>
          <w:rFonts w:hint="eastAsia" w:eastAsia="方正仿宋_GBK" w:cs="Times New Roman"/>
          <w:color w:val="000000" w:themeColor="text1"/>
          <w:sz w:val="32"/>
          <w:szCs w:val="32"/>
          <w:lang w:eastAsia="zh-CN"/>
          <w14:textFill>
            <w14:solidFill>
              <w14:schemeClr w14:val="tx1"/>
            </w14:solidFill>
          </w14:textFill>
        </w:rPr>
        <w:t>实施</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审查</w:t>
      </w:r>
      <w:r>
        <w:rPr>
          <w:rFonts w:hint="default" w:ascii="Times New Roman" w:hAnsi="Times New Roman" w:eastAsia="方正仿宋_GBK" w:cs="Times New Roman"/>
          <w:color w:val="000000" w:themeColor="text1"/>
          <w:sz w:val="32"/>
          <w:szCs w:val="32"/>
          <w14:textFill>
            <w14:solidFill>
              <w14:schemeClr w14:val="tx1"/>
            </w14:solidFill>
          </w14:textFill>
        </w:rPr>
        <w:t>及工程建设竣工验收监督管理</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p w14:paraId="31D3D3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3.市住房</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发展中心</w:t>
      </w:r>
      <w:r>
        <w:rPr>
          <w:rFonts w:hint="eastAsia"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负责对销售合同审查把关以及</w:t>
      </w:r>
      <w:r>
        <w:rPr>
          <w:rFonts w:hint="default" w:ascii="Times New Roman" w:hAnsi="Times New Roman" w:eastAsia="方正仿宋_GBK" w:cs="Times New Roman"/>
          <w:color w:val="000000" w:themeColor="text1"/>
          <w:sz w:val="32"/>
          <w:szCs w:val="32"/>
          <w14:textFill>
            <w14:solidFill>
              <w14:schemeClr w14:val="tx1"/>
            </w14:solidFill>
          </w14:textFill>
        </w:rPr>
        <w:t>督促物业服务企业加强绿化平台的管护</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和服务。</w:t>
      </w:r>
    </w:p>
    <w:p w14:paraId="5143EB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u w:val="single" w:color="FF0000"/>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4.</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市城市管理局</w:t>
      </w:r>
      <w:r>
        <w:rPr>
          <w:rFonts w:hint="eastAsia"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负责审定市级立项小区的景观绿化专项设计方案，并负责把关相应项目景观绿化核实验收。</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对于开发小区绿化项目</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，推荐适合在户属空中花园种植的绿化苗木品种目录和养护标准，指导后期绿化实施。</w:t>
      </w:r>
    </w:p>
    <w:p w14:paraId="6DCA6A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5.亳芜</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现代产业园区管委会</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亳州</w:t>
      </w:r>
      <w:r>
        <w:rPr>
          <w:rFonts w:hint="default" w:ascii="Times New Roman" w:hAnsi="Times New Roman" w:eastAsia="方正仿宋_GBK" w:cs="Times New Roman"/>
          <w:color w:val="000000" w:themeColor="text1"/>
          <w:sz w:val="32"/>
          <w:szCs w:val="32"/>
          <w14:textFill>
            <w14:solidFill>
              <w14:schemeClr w14:val="tx1"/>
            </w14:solidFill>
          </w14:textFill>
        </w:rPr>
        <w:t>高新区</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管委会</w:t>
      </w:r>
      <w:r>
        <w:rPr>
          <w:rFonts w:hint="default" w:ascii="Times New Roman" w:hAnsi="Times New Roman" w:eastAsia="方正仿宋_GBK" w:cs="Times New Roman"/>
          <w:color w:val="000000" w:themeColor="text1"/>
          <w:sz w:val="32"/>
          <w:szCs w:val="32"/>
          <w14:textFill>
            <w14:solidFill>
              <w14:schemeClr w14:val="tx1"/>
            </w14:solidFill>
          </w14:textFill>
        </w:rPr>
        <w:t>、谯城区</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政府等</w:t>
      </w:r>
      <w:r>
        <w:rPr>
          <w:rFonts w:hint="default" w:ascii="Times New Roman" w:hAnsi="Times New Roman" w:eastAsia="方正仿宋_GBK" w:cs="Times New Roman"/>
          <w:color w:val="000000" w:themeColor="text1"/>
          <w:sz w:val="32"/>
          <w:szCs w:val="32"/>
          <w14:textFill>
            <w14:solidFill>
              <w14:schemeClr w14:val="tx1"/>
            </w14:solidFill>
          </w14:textFill>
        </w:rPr>
        <w:t>载体单位</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城市管理部门</w:t>
      </w:r>
      <w:r>
        <w:rPr>
          <w:rFonts w:hint="default" w:ascii="Times New Roman" w:hAnsi="Times New Roman" w:eastAsia="方正仿宋_GBK" w:cs="Times New Roman"/>
          <w:color w:val="000000" w:themeColor="text1"/>
          <w:sz w:val="32"/>
          <w:szCs w:val="32"/>
          <w14:textFill>
            <w14:solidFill>
              <w14:schemeClr w14:val="tx1"/>
            </w14:solidFill>
          </w14:textFill>
        </w:rPr>
        <w:t>负责对违法建设的建筑物、构筑物依法进行查处。</w:t>
      </w:r>
    </w:p>
    <w:p w14:paraId="34056400">
      <w:pPr>
        <w:pStyle w:val="2"/>
        <w:keepNext w:val="0"/>
        <w:keepLines w:val="0"/>
        <w:pageBreakBefore w:val="0"/>
        <w:kinsoku/>
        <w:wordWrap/>
        <w:overflowPunct/>
        <w:topLinePunct w:val="0"/>
        <w:autoSpaceDE/>
        <w:autoSpaceDN/>
        <w:bidi w:val="0"/>
        <w:spacing w:line="560" w:lineRule="exact"/>
        <w:textAlignment w:val="auto"/>
        <w:rPr>
          <w:rFonts w:hint="default"/>
          <w:lang w:val="en-US" w:eastAsia="zh-CN"/>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（二）</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规范销售及使用</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建设单位应依法依规建设、销售，并及时、准确地向购房者及物业管理单位说明关于户属空中花园用途，严禁误导性宣传。</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房</w:t>
      </w:r>
      <w:r>
        <w:rPr>
          <w:rFonts w:hint="eastAsia" w:ascii="方正仿宋_GBK" w:hAnsi="方正仿宋_GBK" w:eastAsia="方正仿宋_GBK" w:cs="方正仿宋_GBK"/>
          <w:color w:val="000000" w:themeColor="text1"/>
          <w:sz w:val="32"/>
          <w:szCs w:val="32"/>
          <w14:textFill>
            <w14:solidFill>
              <w14:schemeClr w14:val="tx1"/>
            </w14:solidFill>
          </w14:textFill>
        </w:rPr>
        <w:t>屋销售合同应当明确户属空中花园的用途、购房业主和物业服务企业的管理维护义务，</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并附</w:t>
      </w:r>
      <w:r>
        <w:rPr>
          <w:rFonts w:hint="eastAsia" w:ascii="方正仿宋_GBK" w:hAnsi="方正仿宋_GBK" w:eastAsia="方正仿宋_GBK" w:cs="方正仿宋_GBK"/>
          <w:color w:val="000000" w:themeColor="text1"/>
          <w:sz w:val="32"/>
          <w:szCs w:val="32"/>
          <w14:textFill>
            <w14:solidFill>
              <w14:schemeClr w14:val="tx1"/>
            </w14:solidFill>
          </w14:textFill>
        </w:rPr>
        <w:t>购房业主不私自改变用途的承诺书。建设单位及业主应按照规划要求使用、管理，不得擅自破坏占用户属空中花园</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p>
    <w:p w14:paraId="696242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（三）</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严把竣工验收关口</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市自然资源和规划局、市</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住房</w:t>
      </w:r>
      <w:r>
        <w:rPr>
          <w:rFonts w:hint="eastAsia" w:ascii="方正仿宋_GBK" w:hAnsi="方正仿宋_GBK" w:eastAsia="方正仿宋_GBK" w:cs="方正仿宋_GBK"/>
          <w:color w:val="000000" w:themeColor="text1"/>
          <w:sz w:val="32"/>
          <w:szCs w:val="32"/>
          <w14:textFill>
            <w14:solidFill>
              <w14:schemeClr w14:val="tx1"/>
            </w14:solidFill>
          </w14:textFill>
        </w:rPr>
        <w:t>城乡建设局、市城市管理局</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市住房</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发展中心</w:t>
      </w:r>
      <w:r>
        <w:rPr>
          <w:rFonts w:hint="eastAsia" w:ascii="方正仿宋_GBK" w:hAnsi="方正仿宋_GBK" w:eastAsia="方正仿宋_GBK" w:cs="方正仿宋_GBK"/>
          <w:color w:val="000000" w:themeColor="text1"/>
          <w:sz w:val="32"/>
          <w:szCs w:val="32"/>
          <w14:textFill>
            <w14:solidFill>
              <w14:schemeClr w14:val="tx1"/>
            </w14:solidFill>
          </w14:textFill>
        </w:rPr>
        <w:t>等部门要将户属空中花园等特有部分及绿化实施情况纳入建筑主体工程同步规划、同步实施、同步验收。验收不合格或擅自改变功能的，不再享有试点支持政策，由此造成的超容积率、建筑间距不足等问题按违法建设处理。</w:t>
      </w:r>
    </w:p>
    <w:p w14:paraId="6FCDD5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（四）</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做好验收后监督管理</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属地政府及相关部门应做好建设项目竣工验收后的监管，严格查处户属空中花园违法违规使用问题，严禁业主私自改变用途、违法违规封闭、擅自破坏占用，一经发现，应当及时责令整改并移交处理。</w:t>
      </w:r>
    </w:p>
    <w:p w14:paraId="2C4FC2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（五）</w:t>
      </w:r>
      <w:r>
        <w:rPr>
          <w:rFonts w:hint="eastAsia" w:ascii="方正楷体_GBK" w:hAnsi="方正楷体_GBK" w:eastAsia="方正楷体_GBK" w:cs="方正楷体_GBK"/>
          <w:b w:val="0"/>
          <w:bCs w:val="0"/>
          <w:color w:val="000000" w:themeColor="text1"/>
          <w:sz w:val="32"/>
          <w:szCs w:val="32"/>
          <w14:textFill>
            <w14:solidFill>
              <w14:schemeClr w14:val="tx1"/>
            </w14:solidFill>
          </w14:textFill>
        </w:rPr>
        <w:t>加强物业服务管理</w:t>
      </w:r>
      <w:r>
        <w:rPr>
          <w:rFonts w:hint="eastAsia" w:ascii="方正楷体_GBK" w:hAnsi="方正楷体_GBK" w:eastAsia="方正楷体_GBK" w:cs="方正楷体_GBK"/>
          <w:b w:val="0"/>
          <w:bCs w:val="0"/>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亳芜</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现代产业园区管委会</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亳州</w:t>
      </w:r>
      <w:r>
        <w:rPr>
          <w:rFonts w:hint="default" w:ascii="Times New Roman" w:hAnsi="Times New Roman" w:eastAsia="方正仿宋_GBK" w:cs="Times New Roman"/>
          <w:color w:val="000000" w:themeColor="text1"/>
          <w:sz w:val="32"/>
          <w:szCs w:val="32"/>
          <w14:textFill>
            <w14:solidFill>
              <w14:schemeClr w14:val="tx1"/>
            </w14:solidFill>
          </w14:textFill>
        </w:rPr>
        <w:t>高新区</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管委会</w:t>
      </w:r>
      <w:r>
        <w:rPr>
          <w:rFonts w:hint="default" w:ascii="Times New Roman" w:hAnsi="Times New Roman" w:eastAsia="方正仿宋_GBK" w:cs="Times New Roman"/>
          <w:color w:val="000000" w:themeColor="text1"/>
          <w:sz w:val="32"/>
          <w:szCs w:val="32"/>
          <w14:textFill>
            <w14:solidFill>
              <w14:schemeClr w14:val="tx1"/>
            </w14:solidFill>
          </w14:textFill>
        </w:rPr>
        <w:t>、谯城区</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政府等</w:t>
      </w:r>
      <w:r>
        <w:rPr>
          <w:rFonts w:hint="eastAsia" w:ascii="方正仿宋_GBK" w:hAnsi="方正仿宋_GBK" w:eastAsia="方正仿宋_GBK" w:cs="方正仿宋_GBK"/>
          <w:color w:val="000000" w:themeColor="text1"/>
          <w:sz w:val="32"/>
          <w:szCs w:val="32"/>
          <w14:textFill>
            <w14:solidFill>
              <w14:schemeClr w14:val="tx1"/>
            </w14:solidFill>
          </w14:textFill>
        </w:rPr>
        <w:t>载体单位应督促物业服务企业加强</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小区</w:t>
      </w:r>
      <w:r>
        <w:rPr>
          <w:rFonts w:hint="eastAsia" w:ascii="方正仿宋_GBK" w:hAnsi="方正仿宋_GBK" w:eastAsia="方正仿宋_GBK" w:cs="方正仿宋_GBK"/>
          <w:color w:val="000000" w:themeColor="text1"/>
          <w:sz w:val="32"/>
          <w:szCs w:val="32"/>
          <w14:textFill>
            <w14:solidFill>
              <w14:schemeClr w14:val="tx1"/>
            </w14:solidFill>
          </w14:textFill>
        </w:rPr>
        <w:t>的管理与服务，确保建筑外立面整体效果和居住区品质。</w:t>
      </w:r>
    </w:p>
    <w:p w14:paraId="6D128F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五、其他事项</w:t>
      </w:r>
    </w:p>
    <w:p w14:paraId="26D5BF15">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eastAsia="方正仿宋_GBK" w:cs="Times New Roman"/>
          <w:color w:val="000000" w:themeColor="text1"/>
          <w:sz w:val="32"/>
          <w:szCs w:val="32"/>
          <w:lang w:val="en-US" w:eastAsia="zh-CN"/>
          <w14:textFill>
            <w14:solidFill>
              <w14:schemeClr w14:val="tx1"/>
            </w14:solidFill>
          </w14:textFill>
        </w:rPr>
        <w:t>（一）</w:t>
      </w:r>
      <w:r>
        <w:rPr>
          <w:rFonts w:hint="default"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该</w:t>
      </w:r>
      <w:r>
        <w:rPr>
          <w:rFonts w:hint="eastAsia" w:ascii="Times New Roman" w:hAnsi="Times New Roman" w:eastAsia="方正仿宋_GBK" w:cs="Times New Roman"/>
          <w:color w:val="000000" w:themeColor="text1"/>
          <w:kern w:val="2"/>
          <w:sz w:val="32"/>
          <w:szCs w:val="32"/>
          <w:lang w:val="en" w:eastAsia="zh-CN" w:bidi="ar-SA"/>
          <w14:textFill>
            <w14:solidFill>
              <w14:schemeClr w14:val="tx1"/>
            </w14:solidFill>
          </w14:textFill>
        </w:rPr>
        <w:t>文件</w:t>
      </w:r>
      <w:r>
        <w:rPr>
          <w:rFonts w:hint="default" w:ascii="Times New Roman" w:hAnsi="Times New Roman" w:eastAsia="方正仿宋_GBK" w:cs="Times New Roman"/>
          <w:color w:val="000000" w:themeColor="text1"/>
          <w:kern w:val="2"/>
          <w:sz w:val="32"/>
          <w:szCs w:val="32"/>
          <w:lang w:val="en" w:eastAsia="zh-CN" w:bidi="ar-SA"/>
          <w14:textFill>
            <w14:solidFill>
              <w14:schemeClr w14:val="tx1"/>
            </w14:solidFill>
          </w14:textFill>
        </w:rPr>
        <w:t>适用于</w:t>
      </w:r>
      <w:r>
        <w:rPr>
          <w:rFonts w:hint="eastAsia"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建设工程设计方案尚未审批的项目。</w:t>
      </w:r>
    </w:p>
    <w:p w14:paraId="57DAB3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eastAsia="方正仿宋_GBK" w:cs="Times New Roman"/>
          <w:color w:val="000000" w:themeColor="text1"/>
          <w:sz w:val="32"/>
          <w:szCs w:val="32"/>
          <w:lang w:val="en-US" w:eastAsia="zh-CN"/>
          <w14:textFill>
            <w14:solidFill>
              <w14:schemeClr w14:val="tx1"/>
            </w14:solidFill>
          </w14:textFill>
        </w:rPr>
        <w:t>（二）</w:t>
      </w:r>
      <w:r>
        <w:rPr>
          <w:rFonts w:hint="default" w:ascii="Times New Roman" w:hAnsi="Times New Roman" w:eastAsia="方正仿宋_GBK" w:cs="Times New Roman"/>
          <w:color w:val="000000" w:themeColor="text1"/>
          <w:sz w:val="32"/>
          <w:szCs w:val="32"/>
          <w14:textFill>
            <w14:solidFill>
              <w14:schemeClr w14:val="tx1"/>
            </w14:solidFill>
          </w14:textFill>
        </w:rPr>
        <w:t>本通知自202</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5</w:t>
      </w:r>
      <w:r>
        <w:rPr>
          <w:rFonts w:hint="default" w:ascii="Times New Roman" w:hAnsi="Times New Roman" w:eastAsia="方正仿宋_GBK" w:cs="Times New Roman"/>
          <w:color w:val="000000" w:themeColor="text1"/>
          <w:sz w:val="32"/>
          <w:szCs w:val="32"/>
          <w14:textFill>
            <w14:solidFill>
              <w14:schemeClr w14:val="tx1"/>
            </w14:solidFill>
          </w14:textFill>
        </w:rPr>
        <w:t>年</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5</w:t>
      </w:r>
      <w:r>
        <w:rPr>
          <w:rFonts w:hint="default" w:ascii="Times New Roman" w:hAnsi="Times New Roman" w:eastAsia="方正仿宋_GBK" w:cs="Times New Roman"/>
          <w:color w:val="000000" w:themeColor="text1"/>
          <w:sz w:val="32"/>
          <w:szCs w:val="32"/>
          <w14:textFill>
            <w14:solidFill>
              <w14:schemeClr w14:val="tx1"/>
            </w14:solidFill>
          </w14:textFill>
        </w:rPr>
        <w:t>月</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26</w:t>
      </w:r>
      <w:r>
        <w:rPr>
          <w:rFonts w:hint="default" w:ascii="Times New Roman" w:hAnsi="Times New Roman" w:eastAsia="方正仿宋_GBK" w:cs="Times New Roman"/>
          <w:color w:val="000000" w:themeColor="text1"/>
          <w:sz w:val="32"/>
          <w:szCs w:val="32"/>
          <w14:textFill>
            <w14:solidFill>
              <w14:schemeClr w14:val="tx1"/>
            </w14:solidFill>
          </w14:textFill>
        </w:rPr>
        <w:t>日</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市自然资源和规划管理委员会</w:t>
      </w:r>
      <w:r>
        <w:rPr>
          <w:rFonts w:hint="default" w:ascii="Times New Roman" w:hAnsi="Times New Roman" w:eastAsia="方正仿宋_GBK" w:cs="Times New Roman"/>
          <w:color w:val="000000" w:themeColor="text1"/>
          <w:sz w:val="32"/>
          <w:szCs w:val="32"/>
          <w14:textFill>
            <w14:solidFill>
              <w14:schemeClr w14:val="tx1"/>
            </w14:solidFill>
          </w14:textFill>
        </w:rPr>
        <w:t>第</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10</w:t>
      </w:r>
      <w:r>
        <w:rPr>
          <w:rFonts w:hint="default" w:ascii="Times New Roman" w:hAnsi="Times New Roman" w:eastAsia="方正仿宋_GBK" w:cs="Times New Roman"/>
          <w:color w:val="000000" w:themeColor="text1"/>
          <w:sz w:val="32"/>
          <w:szCs w:val="32"/>
          <w14:textFill>
            <w14:solidFill>
              <w14:schemeClr w14:val="tx1"/>
            </w14:solidFill>
          </w14:textFill>
        </w:rPr>
        <w:t>次</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主任办公会</w:t>
      </w:r>
      <w:r>
        <w:rPr>
          <w:rFonts w:hint="eastAsia" w:eastAsia="方正仿宋_GBK" w:cs="Times New Roman"/>
          <w:color w:val="000000" w:themeColor="text1"/>
          <w:sz w:val="32"/>
          <w:szCs w:val="32"/>
          <w:lang w:val="en-US" w:eastAsia="zh-CN"/>
          <w14:textFill>
            <w14:solidFill>
              <w14:schemeClr w14:val="tx1"/>
            </w14:solidFill>
          </w14:textFill>
        </w:rPr>
        <w:t>研究通过</w:t>
      </w:r>
      <w:r>
        <w:rPr>
          <w:rFonts w:hint="default" w:ascii="Times New Roman" w:hAnsi="Times New Roman" w:eastAsia="方正仿宋_GBK" w:cs="Times New Roman"/>
          <w:color w:val="000000" w:themeColor="text1"/>
          <w:sz w:val="32"/>
          <w:szCs w:val="32"/>
          <w14:textFill>
            <w14:solidFill>
              <w14:schemeClr w14:val="tx1"/>
            </w14:solidFill>
          </w14:textFill>
        </w:rPr>
        <w:t>后</w:t>
      </w:r>
      <w:r>
        <w:rPr>
          <w:rFonts w:hint="eastAsia" w:eastAsia="方正仿宋_GBK" w:cs="Times New Roman"/>
          <w:color w:val="000000" w:themeColor="text1"/>
          <w:sz w:val="32"/>
          <w:szCs w:val="32"/>
          <w:lang w:eastAsia="zh-CN"/>
          <w14:textFill>
            <w14:solidFill>
              <w14:schemeClr w14:val="tx1"/>
            </w14:solidFill>
          </w14:textFill>
        </w:rPr>
        <w:t>立即</w:t>
      </w:r>
      <w:r>
        <w:rPr>
          <w:rFonts w:hint="default" w:ascii="Times New Roman" w:hAnsi="Times New Roman" w:eastAsia="方正仿宋_GBK" w:cs="Times New Roman"/>
          <w:color w:val="000000" w:themeColor="text1"/>
          <w:sz w:val="32"/>
          <w:szCs w:val="32"/>
          <w14:textFill>
            <w14:solidFill>
              <w14:schemeClr w14:val="tx1"/>
            </w14:solidFill>
          </w14:textFill>
        </w:rPr>
        <w:t>试行，</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以市自然资源和规划管理委员会名义印发试行，有效期2年</w:t>
      </w:r>
      <w:r>
        <w:rPr>
          <w:rFonts w:hint="default" w:ascii="Times New Roman" w:hAnsi="Times New Roman" w:eastAsia="方正仿宋_GBK" w:cs="Times New Roman"/>
          <w:color w:val="000000" w:themeColor="text1"/>
          <w:sz w:val="32"/>
          <w:szCs w:val="32"/>
          <w14:textFill>
            <w14:solidFill>
              <w14:schemeClr w14:val="tx1"/>
            </w14:solidFill>
          </w14:textFill>
        </w:rPr>
        <w:t>。</w:t>
      </w:r>
    </w:p>
    <w:p w14:paraId="28923F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lang w:val="en-US" w:eastAsia="zh-CN"/>
        </w:rPr>
      </w:pPr>
      <w:r>
        <w:rPr>
          <w:rFonts w:hint="eastAsia" w:eastAsia="方正仿宋_GBK" w:cs="Times New Roman"/>
          <w:color w:val="000000" w:themeColor="text1"/>
          <w:sz w:val="32"/>
          <w:szCs w:val="32"/>
          <w:lang w:val="en-US" w:eastAsia="zh-CN"/>
          <w14:textFill>
            <w14:solidFill>
              <w14:schemeClr w14:val="tx1"/>
            </w14:solidFill>
          </w14:textFill>
        </w:rPr>
        <w:t>（三）</w:t>
      </w:r>
      <w:r>
        <w:rPr>
          <w:rFonts w:hint="default" w:ascii="Times New Roman" w:hAnsi="Times New Roman" w:eastAsia="方正仿宋_GBK" w:cs="Times New Roman"/>
          <w:color w:val="000000" w:themeColor="text1"/>
          <w:sz w:val="32"/>
          <w:szCs w:val="32"/>
          <w14:textFill>
            <w14:solidFill>
              <w14:schemeClr w14:val="tx1"/>
            </w14:solidFill>
          </w14:textFill>
        </w:rPr>
        <w:t>其他未尽事宜，按照国家、省和市相关规定及技术规范执行</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p>
    <w:sectPr>
      <w:headerReference r:id="rId5" w:type="first"/>
      <w:footerReference r:id="rId8" w:type="first"/>
      <w:headerReference r:id="rId3" w:type="default"/>
      <w:footerReference r:id="rId6" w:type="default"/>
      <w:headerReference r:id="rId4" w:type="even"/>
      <w:footerReference r:id="rId7" w:type="even"/>
      <w:pgSz w:w="11906" w:h="16838"/>
      <w:pgMar w:top="2097" w:right="1446" w:bottom="1701" w:left="1446" w:header="567" w:footer="1417"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decorative"/>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隶书_GBK">
    <w:altName w:val="宋体"/>
    <w:panose1 w:val="02000000000000000000"/>
    <w:charset w:val="86"/>
    <w:family w:val="auto"/>
    <w:pitch w:val="default"/>
    <w:sig w:usb0="00000000" w:usb1="0000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B65CC">
    <w:pPr>
      <w:pStyle w:val="9"/>
      <w:ind w:right="360" w:firstLine="360"/>
      <w:rPr>
        <w:rFonts w:hint="eastAsia"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15E8F">
                          <w:pPr>
                            <w:pStyle w:val="9"/>
                            <w:keepNext w:val="0"/>
                            <w:keepLines w:val="0"/>
                            <w:pageBreakBefore w:val="0"/>
                            <w:widowControl w:val="0"/>
                            <w:tabs>
                              <w:tab w:val="left" w:pos="840"/>
                            </w:tabs>
                            <w:kinsoku/>
                            <w:wordWrap/>
                            <w:overflowPunct/>
                            <w:topLinePunct w:val="0"/>
                            <w:autoSpaceDE/>
                            <w:autoSpaceDN/>
                            <w:bidi w:val="0"/>
                            <w:adjustRightInd/>
                            <w:snapToGrid w:val="0"/>
                            <w:spacing w:before="0" w:beforeLines="0" w:after="0" w:afterLines="0" w:line="240" w:lineRule="auto"/>
                            <w:ind w:left="0" w:leftChars="0" w:right="336" w:rightChars="160" w:firstLine="0" w:firstLineChars="0"/>
                            <w:jc w:val="center"/>
                            <w:textAlignment w:val="auto"/>
                            <w:outlineLvl w:val="9"/>
                            <w:rPr>
                              <w:rStyle w:val="16"/>
                              <w:rFonts w:hint="eastAsia" w:ascii="方正仿宋_GBK" w:hAnsi="方正仿宋_GBK" w:eastAsia="方正仿宋_GBK" w:cs="方正仿宋_GBK"/>
                              <w:sz w:val="24"/>
                              <w:szCs w:val="24"/>
                              <w:lang w:val="en-US"/>
                            </w:rPr>
                          </w:pPr>
                          <w:r>
                            <w:rPr>
                              <w:rStyle w:val="16"/>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fldChar w:fldCharType="begin"/>
                          </w:r>
                          <w:r>
                            <w:rPr>
                              <w:rStyle w:val="16"/>
                              <w:rFonts w:hint="eastAsia" w:ascii="方正仿宋_GBK" w:hAnsi="方正仿宋_GBK" w:eastAsia="方正仿宋_GBK" w:cs="方正仿宋_GBK"/>
                              <w:sz w:val="24"/>
                              <w:szCs w:val="24"/>
                            </w:rPr>
                            <w:instrText xml:space="preserve">PAGE  </w:instrText>
                          </w:r>
                          <w:r>
                            <w:rPr>
                              <w:rFonts w:hint="eastAsia" w:ascii="方正仿宋_GBK" w:hAnsi="方正仿宋_GBK" w:eastAsia="方正仿宋_GBK" w:cs="方正仿宋_GBK"/>
                              <w:sz w:val="24"/>
                              <w:szCs w:val="24"/>
                            </w:rPr>
                            <w:fldChar w:fldCharType="separate"/>
                          </w:r>
                          <w:r>
                            <w:rPr>
                              <w:rStyle w:val="16"/>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rPr>
                            <w:fldChar w:fldCharType="end"/>
                          </w:r>
                          <w:r>
                            <w:rPr>
                              <w:rStyle w:val="16"/>
                              <w:rFonts w:hint="eastAsia" w:ascii="方正仿宋_GBK" w:hAnsi="方正仿宋_GBK" w:eastAsia="方正仿宋_GBK" w:cs="方正仿宋_GBK"/>
                              <w:sz w:val="24"/>
                              <w:szCs w:val="24"/>
                            </w:rPr>
                            <w:t xml:space="preserve"> —</w:t>
                          </w:r>
                          <w:r>
                            <w:rPr>
                              <w:rStyle w:val="16"/>
                              <w:rFonts w:hint="eastAsia" w:ascii="方正仿宋_GBK" w:hAnsi="方正仿宋_GBK" w:eastAsia="方正仿宋_GBK" w:cs="方正仿宋_GBK"/>
                              <w:sz w:val="24"/>
                              <w:szCs w:val="24"/>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515E8F">
                    <w:pPr>
                      <w:pStyle w:val="9"/>
                      <w:keepNext w:val="0"/>
                      <w:keepLines w:val="0"/>
                      <w:pageBreakBefore w:val="0"/>
                      <w:widowControl w:val="0"/>
                      <w:tabs>
                        <w:tab w:val="left" w:pos="840"/>
                      </w:tabs>
                      <w:kinsoku/>
                      <w:wordWrap/>
                      <w:overflowPunct/>
                      <w:topLinePunct w:val="0"/>
                      <w:autoSpaceDE/>
                      <w:autoSpaceDN/>
                      <w:bidi w:val="0"/>
                      <w:adjustRightInd/>
                      <w:snapToGrid w:val="0"/>
                      <w:spacing w:before="0" w:beforeLines="0" w:after="0" w:afterLines="0" w:line="240" w:lineRule="auto"/>
                      <w:ind w:left="0" w:leftChars="0" w:right="336" w:rightChars="160" w:firstLine="0" w:firstLineChars="0"/>
                      <w:jc w:val="center"/>
                      <w:textAlignment w:val="auto"/>
                      <w:outlineLvl w:val="9"/>
                      <w:rPr>
                        <w:rStyle w:val="16"/>
                        <w:rFonts w:hint="eastAsia" w:ascii="方正仿宋_GBK" w:hAnsi="方正仿宋_GBK" w:eastAsia="方正仿宋_GBK" w:cs="方正仿宋_GBK"/>
                        <w:sz w:val="24"/>
                        <w:szCs w:val="24"/>
                        <w:lang w:val="en-US"/>
                      </w:rPr>
                    </w:pPr>
                    <w:r>
                      <w:rPr>
                        <w:rStyle w:val="16"/>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fldChar w:fldCharType="begin"/>
                    </w:r>
                    <w:r>
                      <w:rPr>
                        <w:rStyle w:val="16"/>
                        <w:rFonts w:hint="eastAsia" w:ascii="方正仿宋_GBK" w:hAnsi="方正仿宋_GBK" w:eastAsia="方正仿宋_GBK" w:cs="方正仿宋_GBK"/>
                        <w:sz w:val="24"/>
                        <w:szCs w:val="24"/>
                      </w:rPr>
                      <w:instrText xml:space="preserve">PAGE  </w:instrText>
                    </w:r>
                    <w:r>
                      <w:rPr>
                        <w:rFonts w:hint="eastAsia" w:ascii="方正仿宋_GBK" w:hAnsi="方正仿宋_GBK" w:eastAsia="方正仿宋_GBK" w:cs="方正仿宋_GBK"/>
                        <w:sz w:val="24"/>
                        <w:szCs w:val="24"/>
                      </w:rPr>
                      <w:fldChar w:fldCharType="separate"/>
                    </w:r>
                    <w:r>
                      <w:rPr>
                        <w:rStyle w:val="16"/>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rPr>
                      <w:fldChar w:fldCharType="end"/>
                    </w:r>
                    <w:r>
                      <w:rPr>
                        <w:rStyle w:val="16"/>
                        <w:rFonts w:hint="eastAsia" w:ascii="方正仿宋_GBK" w:hAnsi="方正仿宋_GBK" w:eastAsia="方正仿宋_GBK" w:cs="方正仿宋_GBK"/>
                        <w:sz w:val="24"/>
                        <w:szCs w:val="24"/>
                      </w:rPr>
                      <w:t xml:space="preserve"> —</w:t>
                    </w:r>
                    <w:r>
                      <w:rPr>
                        <w:rStyle w:val="16"/>
                        <w:rFonts w:hint="eastAsia" w:ascii="方正仿宋_GBK" w:hAnsi="方正仿宋_GBK" w:eastAsia="方正仿宋_GBK" w:cs="方正仿宋_GBK"/>
                        <w:sz w:val="24"/>
                        <w:szCs w:val="24"/>
                        <w:lang w:val="en-US" w:eastAsia="zh-CN"/>
                      </w:rPr>
                      <w:t xml:space="preserve">    </w:t>
                    </w:r>
                  </w:p>
                </w:txbxContent>
              </v:textbox>
            </v:shape>
          </w:pict>
        </mc:Fallback>
      </mc:AlternateContent>
    </w: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6CE36">
    <w:pPr>
      <w:pStyle w:val="9"/>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A4DCB7">
                          <w:pPr>
                            <w:pStyle w:val="9"/>
                            <w:keepNext w:val="0"/>
                            <w:keepLines w:val="0"/>
                            <w:pageBreakBefore w:val="0"/>
                            <w:widowControl w:val="0"/>
                            <w:kinsoku/>
                            <w:wordWrap/>
                            <w:overflowPunct/>
                            <w:topLinePunct w:val="0"/>
                            <w:autoSpaceDE/>
                            <w:autoSpaceDN/>
                            <w:bidi w:val="0"/>
                            <w:adjustRightInd/>
                            <w:snapToGrid w:val="0"/>
                            <w:spacing w:before="0" w:beforeLines="0" w:after="0" w:afterLines="0" w:line="240" w:lineRule="auto"/>
                            <w:ind w:left="0" w:leftChars="0" w:right="0" w:rightChars="0" w:firstLine="240" w:firstLineChars="100"/>
                            <w:jc w:val="left"/>
                            <w:textAlignment w:val="auto"/>
                            <w:outlineLvl w:val="9"/>
                            <w:rPr>
                              <w:rStyle w:val="16"/>
                              <w:rFonts w:hint="eastAsia" w:ascii="方正仿宋_GBK" w:hAnsi="方正仿宋_GBK" w:eastAsia="方正仿宋_GBK" w:cs="方正仿宋_GBK"/>
                              <w:sz w:val="24"/>
                              <w:szCs w:val="24"/>
                            </w:rPr>
                          </w:pPr>
                          <w:r>
                            <w:rPr>
                              <w:rStyle w:val="16"/>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fldChar w:fldCharType="begin"/>
                          </w:r>
                          <w:r>
                            <w:rPr>
                              <w:rStyle w:val="16"/>
                              <w:rFonts w:hint="eastAsia" w:ascii="方正仿宋_GBK" w:hAnsi="方正仿宋_GBK" w:eastAsia="方正仿宋_GBK" w:cs="方正仿宋_GBK"/>
                              <w:sz w:val="24"/>
                              <w:szCs w:val="24"/>
                            </w:rPr>
                            <w:instrText xml:space="preserve">PAGE  </w:instrText>
                          </w:r>
                          <w:r>
                            <w:rPr>
                              <w:rFonts w:hint="eastAsia" w:ascii="方正仿宋_GBK" w:hAnsi="方正仿宋_GBK" w:eastAsia="方正仿宋_GBK" w:cs="方正仿宋_GBK"/>
                              <w:sz w:val="24"/>
                              <w:szCs w:val="24"/>
                            </w:rPr>
                            <w:fldChar w:fldCharType="separate"/>
                          </w:r>
                          <w:r>
                            <w:rPr>
                              <w:rStyle w:val="16"/>
                              <w:rFonts w:hint="eastAsia" w:ascii="方正仿宋_GBK" w:hAnsi="方正仿宋_GBK" w:eastAsia="方正仿宋_GBK" w:cs="方正仿宋_GBK"/>
                              <w:sz w:val="24"/>
                              <w:szCs w:val="24"/>
                            </w:rPr>
                            <w:t>2</w:t>
                          </w:r>
                          <w:r>
                            <w:rPr>
                              <w:rFonts w:hint="eastAsia" w:ascii="方正仿宋_GBK" w:hAnsi="方正仿宋_GBK" w:eastAsia="方正仿宋_GBK" w:cs="方正仿宋_GBK"/>
                              <w:sz w:val="24"/>
                              <w:szCs w:val="24"/>
                            </w:rPr>
                            <w:fldChar w:fldCharType="end"/>
                          </w:r>
                          <w:r>
                            <w:rPr>
                              <w:rStyle w:val="16"/>
                              <w:rFonts w:hint="eastAsia" w:ascii="方正仿宋_GBK" w:hAnsi="方正仿宋_GBK" w:eastAsia="方正仿宋_GBK" w:cs="方正仿宋_GBK"/>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8A4DCB7">
                    <w:pPr>
                      <w:pStyle w:val="9"/>
                      <w:keepNext w:val="0"/>
                      <w:keepLines w:val="0"/>
                      <w:pageBreakBefore w:val="0"/>
                      <w:widowControl w:val="0"/>
                      <w:kinsoku/>
                      <w:wordWrap/>
                      <w:overflowPunct/>
                      <w:topLinePunct w:val="0"/>
                      <w:autoSpaceDE/>
                      <w:autoSpaceDN/>
                      <w:bidi w:val="0"/>
                      <w:adjustRightInd/>
                      <w:snapToGrid w:val="0"/>
                      <w:spacing w:before="0" w:beforeLines="0" w:after="0" w:afterLines="0" w:line="240" w:lineRule="auto"/>
                      <w:ind w:left="0" w:leftChars="0" w:right="0" w:rightChars="0" w:firstLine="240" w:firstLineChars="100"/>
                      <w:jc w:val="left"/>
                      <w:textAlignment w:val="auto"/>
                      <w:outlineLvl w:val="9"/>
                      <w:rPr>
                        <w:rStyle w:val="16"/>
                        <w:rFonts w:hint="eastAsia" w:ascii="方正仿宋_GBK" w:hAnsi="方正仿宋_GBK" w:eastAsia="方正仿宋_GBK" w:cs="方正仿宋_GBK"/>
                        <w:sz w:val="24"/>
                        <w:szCs w:val="24"/>
                      </w:rPr>
                    </w:pPr>
                    <w:r>
                      <w:rPr>
                        <w:rStyle w:val="16"/>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fldChar w:fldCharType="begin"/>
                    </w:r>
                    <w:r>
                      <w:rPr>
                        <w:rStyle w:val="16"/>
                        <w:rFonts w:hint="eastAsia" w:ascii="方正仿宋_GBK" w:hAnsi="方正仿宋_GBK" w:eastAsia="方正仿宋_GBK" w:cs="方正仿宋_GBK"/>
                        <w:sz w:val="24"/>
                        <w:szCs w:val="24"/>
                      </w:rPr>
                      <w:instrText xml:space="preserve">PAGE  </w:instrText>
                    </w:r>
                    <w:r>
                      <w:rPr>
                        <w:rFonts w:hint="eastAsia" w:ascii="方正仿宋_GBK" w:hAnsi="方正仿宋_GBK" w:eastAsia="方正仿宋_GBK" w:cs="方正仿宋_GBK"/>
                        <w:sz w:val="24"/>
                        <w:szCs w:val="24"/>
                      </w:rPr>
                      <w:fldChar w:fldCharType="separate"/>
                    </w:r>
                    <w:r>
                      <w:rPr>
                        <w:rStyle w:val="16"/>
                        <w:rFonts w:hint="eastAsia" w:ascii="方正仿宋_GBK" w:hAnsi="方正仿宋_GBK" w:eastAsia="方正仿宋_GBK" w:cs="方正仿宋_GBK"/>
                        <w:sz w:val="24"/>
                        <w:szCs w:val="24"/>
                      </w:rPr>
                      <w:t>2</w:t>
                    </w:r>
                    <w:r>
                      <w:rPr>
                        <w:rFonts w:hint="eastAsia" w:ascii="方正仿宋_GBK" w:hAnsi="方正仿宋_GBK" w:eastAsia="方正仿宋_GBK" w:cs="方正仿宋_GBK"/>
                        <w:sz w:val="24"/>
                        <w:szCs w:val="24"/>
                      </w:rPr>
                      <w:fldChar w:fldCharType="end"/>
                    </w:r>
                    <w:r>
                      <w:rPr>
                        <w:rStyle w:val="16"/>
                        <w:rFonts w:hint="eastAsia" w:ascii="方正仿宋_GBK" w:hAnsi="方正仿宋_GBK" w:eastAsia="方正仿宋_GBK" w:cs="方正仿宋_GBK"/>
                        <w:sz w:val="24"/>
                        <w:szCs w:val="24"/>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654C2">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2161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634F2">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A8D03">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isplayBackgroundShape w:val="1"/>
  <w:mirrorMargins w:val="1"/>
  <w:bordersDoNotSurroundHeader w:val="0"/>
  <w:bordersDoNotSurroundFooter w:val="0"/>
  <w:attachedTemplate r:id="rId1"/>
  <w:documentProtection w:enforcement="0"/>
  <w:defaultTabStop w:val="420"/>
  <w:hyphenationZone w:val="360"/>
  <w:evenAndOddHeaders w:val="1"/>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TdmZDM2NDBjYzY0ZjQ3YjE2NjhlYWZhMDQ1YTMifQ=="/>
  </w:docVars>
  <w:rsids>
    <w:rsidRoot w:val="62A43C68"/>
    <w:rsid w:val="037059C8"/>
    <w:rsid w:val="046978CD"/>
    <w:rsid w:val="05893CB5"/>
    <w:rsid w:val="0B66171B"/>
    <w:rsid w:val="0BAD0B42"/>
    <w:rsid w:val="0BE61767"/>
    <w:rsid w:val="0E3969E3"/>
    <w:rsid w:val="0EBF091D"/>
    <w:rsid w:val="0FC35ED1"/>
    <w:rsid w:val="13CD0A88"/>
    <w:rsid w:val="1507714D"/>
    <w:rsid w:val="15B7C4B4"/>
    <w:rsid w:val="16BE50DE"/>
    <w:rsid w:val="175415BE"/>
    <w:rsid w:val="17D833BB"/>
    <w:rsid w:val="1ACE6953"/>
    <w:rsid w:val="1B177DA7"/>
    <w:rsid w:val="1C255D0C"/>
    <w:rsid w:val="1D8F7B4D"/>
    <w:rsid w:val="1EAAFF1E"/>
    <w:rsid w:val="1FBF4C6A"/>
    <w:rsid w:val="2318077F"/>
    <w:rsid w:val="23445DF9"/>
    <w:rsid w:val="2BDD66FC"/>
    <w:rsid w:val="2F3B560E"/>
    <w:rsid w:val="2FEB429B"/>
    <w:rsid w:val="30F15728"/>
    <w:rsid w:val="34177542"/>
    <w:rsid w:val="34282C35"/>
    <w:rsid w:val="3BDF5266"/>
    <w:rsid w:val="3EFBCADC"/>
    <w:rsid w:val="40AA3E26"/>
    <w:rsid w:val="47B35CD3"/>
    <w:rsid w:val="48916897"/>
    <w:rsid w:val="4AC86D20"/>
    <w:rsid w:val="4D469D2D"/>
    <w:rsid w:val="500623E2"/>
    <w:rsid w:val="510E6EE5"/>
    <w:rsid w:val="59140533"/>
    <w:rsid w:val="5ADC59C5"/>
    <w:rsid w:val="5CA63154"/>
    <w:rsid w:val="5CB36743"/>
    <w:rsid w:val="6109207B"/>
    <w:rsid w:val="62A43C68"/>
    <w:rsid w:val="64E536C8"/>
    <w:rsid w:val="663D5574"/>
    <w:rsid w:val="69FD4CC7"/>
    <w:rsid w:val="6AE95552"/>
    <w:rsid w:val="6C3E6957"/>
    <w:rsid w:val="6D492B7D"/>
    <w:rsid w:val="6DFD0310"/>
    <w:rsid w:val="6E902587"/>
    <w:rsid w:val="6F064B12"/>
    <w:rsid w:val="70AC0224"/>
    <w:rsid w:val="73011B3E"/>
    <w:rsid w:val="74AA71AE"/>
    <w:rsid w:val="761C4F33"/>
    <w:rsid w:val="771E1C10"/>
    <w:rsid w:val="77DB56B2"/>
    <w:rsid w:val="77EE5185"/>
    <w:rsid w:val="78D20C44"/>
    <w:rsid w:val="7A1D6F88"/>
    <w:rsid w:val="7BF577A6"/>
    <w:rsid w:val="7D344D95"/>
    <w:rsid w:val="7D7B29C4"/>
    <w:rsid w:val="7DD76879"/>
    <w:rsid w:val="7F7569A2"/>
    <w:rsid w:val="7F7FCD28"/>
    <w:rsid w:val="7FFFE10B"/>
    <w:rsid w:val="ABF8B7F4"/>
    <w:rsid w:val="BD77E239"/>
    <w:rsid w:val="BF9D5A4C"/>
    <w:rsid w:val="BFFF2D33"/>
    <w:rsid w:val="D53C04E9"/>
    <w:rsid w:val="F1FB9421"/>
    <w:rsid w:val="FD7F1822"/>
    <w:rsid w:val="FDE90EB8"/>
    <w:rsid w:val="FF3F1A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7"/>
    <w:qFormat/>
    <w:uiPriority w:val="9"/>
    <w:pPr>
      <w:keepNext/>
      <w:keepLines/>
      <w:spacing w:line="480" w:lineRule="auto"/>
      <w:outlineLvl w:val="0"/>
    </w:pPr>
    <w:rPr>
      <w:b/>
      <w:bCs/>
      <w:kern w:val="44"/>
      <w:sz w:val="24"/>
      <w:szCs w:val="44"/>
    </w:rPr>
  </w:style>
  <w:style w:type="character" w:default="1" w:styleId="13">
    <w:name w:val="Default Paragraph Font"/>
    <w:link w:val="14"/>
    <w:qFormat/>
    <w:uiPriority w:val="0"/>
    <w:rPr>
      <w:rFonts w:ascii="Verdana" w:hAnsi="Verdana" w:eastAsia="仿宋_GB2312"/>
      <w:kern w:val="0"/>
      <w:sz w:val="24"/>
      <w:lang w:eastAsia="en-US"/>
    </w:rPr>
  </w:style>
  <w:style w:type="table" w:default="1" w:styleId="12">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正文首行缩进 21"/>
    <w:next w:val="1"/>
    <w:qFormat/>
    <w:uiPriority w:val="0"/>
    <w:pPr>
      <w:ind w:firstLine="420" w:firstLineChars="200"/>
    </w:pPr>
    <w:rPr>
      <w:rFonts w:ascii="Times New Roman" w:hAnsi="Times New Roman" w:eastAsia="宋体" w:cs="Times New Roman"/>
      <w:sz w:val="21"/>
      <w:szCs w:val="21"/>
      <w:lang w:val="en-US" w:eastAsia="zh-CN" w:bidi="ar-SA"/>
    </w:rPr>
  </w:style>
  <w:style w:type="paragraph" w:styleId="4">
    <w:name w:val="Body Text"/>
    <w:basedOn w:val="1"/>
    <w:qFormat/>
    <w:uiPriority w:val="0"/>
    <w:rPr>
      <w:rFonts w:ascii="方正仿宋_GBK" w:hAnsi="方正仿宋_GBK" w:eastAsia="方正仿宋_GBK" w:cs="方正仿宋_GBK"/>
      <w:sz w:val="32"/>
      <w:szCs w:val="32"/>
      <w:lang w:val="zh-CN" w:eastAsia="zh-CN" w:bidi="zh-CN"/>
    </w:rPr>
  </w:style>
  <w:style w:type="paragraph" w:styleId="5">
    <w:name w:val="Body Text Indent"/>
    <w:basedOn w:val="1"/>
    <w:next w:val="6"/>
    <w:qFormat/>
    <w:uiPriority w:val="0"/>
    <w:pPr>
      <w:spacing w:line="500" w:lineRule="atLeast"/>
      <w:ind w:firstLine="640" w:firstLineChars="200"/>
    </w:pPr>
    <w:rPr>
      <w:rFonts w:eastAsia="仿宋_GB2312"/>
      <w:sz w:val="32"/>
      <w:szCs w:val="20"/>
    </w:rPr>
  </w:style>
  <w:style w:type="paragraph" w:styleId="6">
    <w:name w:val="envelope return"/>
    <w:basedOn w:val="1"/>
    <w:qFormat/>
    <w:uiPriority w:val="0"/>
    <w:pPr>
      <w:keepNext w:val="0"/>
      <w:keepLines w:val="0"/>
      <w:widowControl w:val="0"/>
      <w:suppressLineNumbers w:val="0"/>
      <w:snapToGrid w:val="0"/>
      <w:spacing w:before="0" w:beforeAutospacing="0" w:after="0" w:afterAutospacing="0"/>
      <w:ind w:left="0" w:right="0"/>
      <w:jc w:val="both"/>
    </w:pPr>
    <w:rPr>
      <w:rFonts w:ascii="Arial" w:hAnsi="Arial" w:eastAsia="宋体" w:cs="Arial"/>
      <w:kern w:val="2"/>
      <w:sz w:val="21"/>
      <w:szCs w:val="21"/>
      <w:lang w:val="en-US" w:eastAsia="zh-CN" w:bidi="ar"/>
    </w:rPr>
  </w:style>
  <w:style w:type="paragraph" w:styleId="7">
    <w:name w:val="Body Text Indent 2"/>
    <w:basedOn w:val="1"/>
    <w:next w:val="1"/>
    <w:qFormat/>
    <w:uiPriority w:val="0"/>
    <w:pPr>
      <w:spacing w:after="120" w:afterLines="0" w:afterAutospacing="0" w:line="480" w:lineRule="auto"/>
      <w:ind w:left="420" w:leftChars="200"/>
    </w:pPr>
  </w:style>
  <w:style w:type="paragraph" w:styleId="8">
    <w:name w:val="Balloon Text"/>
    <w:basedOn w:val="1"/>
    <w:qFormat/>
    <w:uiPriority w:val="0"/>
    <w:rPr>
      <w:sz w:val="18"/>
      <w:szCs w:val="18"/>
    </w:rPr>
  </w:style>
  <w:style w:type="paragraph" w:styleId="9">
    <w:name w:val="footer"/>
    <w:basedOn w:val="1"/>
    <w:link w:val="21"/>
    <w:qFormat/>
    <w:uiPriority w:val="0"/>
    <w:pPr>
      <w:tabs>
        <w:tab w:val="center" w:pos="4153"/>
        <w:tab w:val="right" w:pos="8306"/>
      </w:tabs>
      <w:snapToGrid w:val="0"/>
      <w:jc w:val="left"/>
    </w:pPr>
    <w:rPr>
      <w:sz w:val="18"/>
      <w:szCs w:val="18"/>
    </w:rPr>
  </w:style>
  <w:style w:type="paragraph" w:styleId="10">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widowControl/>
      <w:spacing w:before="100" w:beforeLines="0" w:beforeAutospacing="1" w:after="100" w:afterLines="0" w:afterAutospacing="1"/>
      <w:jc w:val="left"/>
    </w:pPr>
    <w:rPr>
      <w:rFonts w:hint="eastAsia" w:ascii="宋体" w:hAnsi="宋体"/>
      <w:sz w:val="24"/>
    </w:rPr>
  </w:style>
  <w:style w:type="paragraph" w:customStyle="1" w:styleId="14">
    <w:name w:val="Char"/>
    <w:basedOn w:val="1"/>
    <w:link w:val="13"/>
    <w:qFormat/>
    <w:uiPriority w:val="0"/>
    <w:pPr>
      <w:spacing w:before="100" w:beforeLines="0" w:beforeAutospacing="1" w:after="100" w:afterLines="0" w:afterAutospacing="1"/>
    </w:pPr>
  </w:style>
  <w:style w:type="character" w:styleId="15">
    <w:name w:val="Strong"/>
    <w:basedOn w:val="13"/>
    <w:qFormat/>
    <w:uiPriority w:val="0"/>
    <w:rPr>
      <w:rFonts w:hint="default" w:ascii="Times New Roman"/>
      <w:b/>
    </w:rPr>
  </w:style>
  <w:style w:type="character" w:styleId="16">
    <w:name w:val="page number"/>
    <w:basedOn w:val="13"/>
    <w:qFormat/>
    <w:uiPriority w:val="0"/>
  </w:style>
  <w:style w:type="paragraph" w:customStyle="1" w:styleId="17">
    <w:name w:val=" Char"/>
    <w:basedOn w:val="1"/>
    <w:link w:val="13"/>
    <w:qFormat/>
    <w:uiPriority w:val="0"/>
    <w:pPr>
      <w:widowControl/>
      <w:adjustRightInd w:val="0"/>
      <w:spacing w:after="160" w:afterLines="0" w:line="240" w:lineRule="exact"/>
      <w:jc w:val="left"/>
      <w:textAlignment w:val="baseline"/>
    </w:pPr>
    <w:rPr>
      <w:rFonts w:ascii="Verdana" w:hAnsi="Verdana" w:eastAsia="仿宋_GB2312"/>
      <w:kern w:val="0"/>
      <w:sz w:val="24"/>
      <w:lang w:eastAsia="en-US"/>
    </w:rPr>
  </w:style>
  <w:style w:type="paragraph" w:customStyle="1" w:styleId="18">
    <w:name w:val="p0"/>
    <w:basedOn w:val="1"/>
    <w:qFormat/>
    <w:uiPriority w:val="0"/>
    <w:pPr>
      <w:widowControl/>
    </w:pPr>
    <w:rPr>
      <w:kern w:val="0"/>
      <w:szCs w:val="21"/>
    </w:rPr>
  </w:style>
  <w:style w:type="paragraph" w:customStyle="1" w:styleId="19">
    <w:name w:val="Normal (Web)"/>
    <w:basedOn w:val="1"/>
    <w:qFormat/>
    <w:uiPriority w:val="0"/>
    <w:pPr>
      <w:widowControl/>
      <w:spacing w:before="100" w:beforeLines="0" w:beforeAutospacing="1" w:after="100" w:afterLines="0" w:afterAutospacing="1"/>
      <w:jc w:val="left"/>
    </w:pPr>
    <w:rPr>
      <w:rFonts w:hint="eastAsia" w:ascii="宋体" w:hAnsi="宋体"/>
      <w:sz w:val="24"/>
    </w:rPr>
  </w:style>
  <w:style w:type="character" w:customStyle="1" w:styleId="20">
    <w:name w:val="ca-41"/>
    <w:basedOn w:val="13"/>
    <w:qFormat/>
    <w:uiPriority w:val="0"/>
    <w:rPr>
      <w:rFonts w:hint="default" w:ascii="Times New Roman"/>
    </w:rPr>
  </w:style>
  <w:style w:type="character" w:customStyle="1" w:styleId="21">
    <w:name w:val="页脚 Char"/>
    <w:basedOn w:val="13"/>
    <w:link w:val="9"/>
    <w:qFormat/>
    <w:uiPriority w:val="0"/>
    <w:rPr>
      <w:rFonts w:hint="eastAsia" w:ascii="仿宋_GB2312" w:eastAsia="仿宋_GB2312" w:cs="仿宋_GB2312"/>
      <w:kern w:val="2"/>
      <w:sz w:val="18"/>
      <w:szCs w:val="18"/>
    </w:rPr>
  </w:style>
  <w:style w:type="character" w:customStyle="1" w:styleId="22">
    <w:name w:val="ca-13"/>
    <w:basedOn w:val="13"/>
    <w:qFormat/>
    <w:uiPriority w:val="0"/>
    <w:rPr>
      <w:rFonts w:hint="default" w:ascii="Times New Roman"/>
    </w:rPr>
  </w:style>
  <w:style w:type="character" w:customStyle="1" w:styleId="23">
    <w:name w:val="页眉 Char"/>
    <w:basedOn w:val="13"/>
    <w:link w:val="10"/>
    <w:qFormat/>
    <w:uiPriority w:val="0"/>
    <w:rPr>
      <w:rFonts w:hint="default" w:ascii="Calibri" w:hAnsi="Calibri" w:cs="Calibri"/>
      <w:kern w:val="2"/>
      <w:sz w:val="18"/>
      <w:szCs w:val="18"/>
    </w:rPr>
  </w:style>
  <w:style w:type="character" w:customStyle="1" w:styleId="24">
    <w:name w:val="15"/>
    <w:basedOn w:val="13"/>
    <w:qFormat/>
    <w:uiPriority w:val="0"/>
    <w:rPr>
      <w:rFonts w:hint="default" w:ascii="Times New Roman" w:hAnsi="Times New Roman" w:eastAsia="仿宋_GB2312" w:cs="Times New Roman"/>
      <w:sz w:val="24"/>
      <w:szCs w:val="24"/>
    </w:rPr>
  </w:style>
  <w:style w:type="character" w:customStyle="1" w:styleId="25">
    <w:name w:val="16"/>
    <w:basedOn w:val="13"/>
    <w:qFormat/>
    <w:uiPriority w:val="0"/>
    <w:rPr>
      <w:rFonts w:hint="default" w:ascii="Times New Roman" w:hAnsi="Times New Roman" w:eastAsia="仿宋_GB2312" w:cs="Times New Roman"/>
      <w:sz w:val="24"/>
      <w:szCs w:val="24"/>
    </w:rPr>
  </w:style>
  <w:style w:type="paragraph" w:customStyle="1" w:styleId="26">
    <w:name w:val="Table Paragraph"/>
    <w:basedOn w:val="1"/>
    <w:qFormat/>
    <w:uiPriority w:val="1"/>
    <w:pPr>
      <w:spacing w:before="29"/>
      <w:ind w:left="382"/>
    </w:pPr>
    <w:rPr>
      <w:rFonts w:ascii="方正仿宋_GBK" w:hAnsi="方正仿宋_GBK" w:eastAsia="方正仿宋_GBK" w:cs="方正仿宋_GBK"/>
      <w:lang w:val="zh-CN" w:eastAsia="zh-CN" w:bidi="zh-CN"/>
    </w:rPr>
  </w:style>
  <w:style w:type="character" w:customStyle="1" w:styleId="27">
    <w:name w:val="标题 1 Char"/>
    <w:link w:val="3"/>
    <w:qFormat/>
    <w:uiPriority w:val="0"/>
    <w:rPr>
      <w:b/>
      <w:bCs/>
      <w:kern w:val="44"/>
      <w:sz w:val="2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bzsw\C:\home\bzsw\C:\Users\Administrator\AppData\Roaming\kingsoft\office6\templates\wps\zh_CN\&#20147;&#25919;.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亳政.wpt</Template>
  <Pages>7</Pages>
  <Words>2883</Words>
  <Characters>2949</Characters>
  <Lines>6</Lines>
  <Paragraphs>1</Paragraphs>
  <TotalTime>17</TotalTime>
  <ScaleCrop>false</ScaleCrop>
  <LinksUpToDate>false</LinksUpToDate>
  <CharactersWithSpaces>3041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2022-01-31T11:16:00Z</dcterms:created>
  <dc:creator>谢金梅</dc:creator>
  <cp:lastModifiedBy>11</cp:lastModifiedBy>
  <cp:lastPrinted>2025-06-19T07:43:23Z</cp:lastPrinted>
  <dcterms:modified xsi:type="dcterms:W3CDTF">2025-06-19T08:30:10Z</dcterms:modified>
  <dc:title>亳政秘〔2010〕号</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E48C3AD5A69C45AEB5B7D9ECB49AD49E_13</vt:lpwstr>
  </property>
  <property fmtid="{D5CDD505-2E9C-101B-9397-08002B2CF9AE}" pid="4" name="KSOTemplateDocerSaveRecord">
    <vt:lpwstr>eyJoZGlkIjoiNTM2NmQxMDUwMmExNmNkNjcxOTc3NmQzOTc0NjUzZjQifQ==</vt:lpwstr>
  </property>
</Properties>
</file>